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выявление одаренных детей в области архитектурного искусства в раннем детском возрасте;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  ДООП «Школа-студия «</w:t>
      </w:r>
      <w:proofErr w:type="spellStart"/>
      <w:r w:rsidRPr="00125048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125048">
        <w:rPr>
          <w:rFonts w:ascii="Times New Roman" w:hAnsi="Times New Roman" w:cs="Times New Roman"/>
          <w:b/>
          <w:sz w:val="28"/>
          <w:szCs w:val="28"/>
        </w:rPr>
        <w:t>»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1 класс»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>К освоению программы допускаются школьники 1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204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>количество часов в неделю – 6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2 раза в неделю по </w:t>
      </w:r>
      <w:r w:rsidR="003859FE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часа.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3F08" w:rsidRPr="00E924F4" w:rsidRDefault="00EC3F08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 и навыки работы в различных техниках с применением разнообразных художественных материалов;</w:t>
      </w:r>
    </w:p>
    <w:p w:rsidR="002234D0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proofErr w:type="gramStart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пл</w:t>
      </w:r>
      <w:proofErr w:type="gramEnd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астических материалов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34D0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 материалов и инструментов, возможности их применения;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техники  работы с пластилином, глиной;</w:t>
      </w:r>
    </w:p>
    <w:p w:rsidR="002234D0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-практическое освоение основных способов лепки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DD3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конструктивного использования подручных материалов;</w:t>
      </w:r>
    </w:p>
    <w:p w:rsidR="00EC3F08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 использовать площадь листа бумаги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подбирать краски в соответствии с передаваемым в рисунке настроением</w:t>
      </w:r>
      <w:r w:rsidR="00E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4DD3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F08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ножницами и клеем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различные соединения и переплетения из бумаги.  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 навыки восприятия и анализа художественных произведений;</w:t>
      </w:r>
    </w:p>
    <w:p w:rsidR="00965407" w:rsidRPr="00E924F4" w:rsidRDefault="00965407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умение использовать полученные теоретические знания в художественно-творческой деятельности.</w:t>
      </w:r>
    </w:p>
    <w:p w:rsidR="00334DD3" w:rsidRPr="00E924F4" w:rsidRDefault="00334DD3" w:rsidP="00334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A0687B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  <w:r w:rsidR="00A06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662"/>
        <w:gridCol w:w="3507"/>
      </w:tblGrid>
      <w:tr w:rsidR="00FB7D5D" w:rsidRPr="00FB7D5D" w:rsidTr="00405CDA">
        <w:tc>
          <w:tcPr>
            <w:tcW w:w="1649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помещений</w:t>
            </w:r>
          </w:p>
        </w:tc>
        <w:tc>
          <w:tcPr>
            <w:tcW w:w="1446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905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или ноутбук, проектор, экран, 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MSOffice</w:t>
            </w:r>
            <w:r w:rsidRPr="0071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занятий ИЗО/ДПИ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Бумага формата А</w:t>
            </w:r>
            <w:proofErr w:type="gram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А3,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краски акварельные, гуашевые,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клей ПВА,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кисти, простые карандаши, цветные карандаши, ножницы</w:t>
            </w:r>
            <w:r w:rsidRPr="00714A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занятий лепкой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Печь для обжига керамики.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Пластилин, глина для лепки,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краски для керамики,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кисти, </w:t>
            </w:r>
            <w:proofErr w:type="spell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спонжи</w:t>
            </w:r>
            <w:proofErr w:type="spell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губки, стеки, доски.</w:t>
            </w:r>
          </w:p>
        </w:tc>
      </w:tr>
    </w:tbl>
    <w:p w:rsidR="00EC7559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</w:t>
      </w:r>
      <w:r w:rsidR="005E1346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54503E">
        <w:rPr>
          <w:rFonts w:ascii="Times New Roman" w:hAnsi="Times New Roman" w:cs="Times New Roman"/>
          <w:sz w:val="28"/>
          <w:szCs w:val="28"/>
        </w:rPr>
        <w:t>младшего 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lastRenderedPageBreak/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ресурсы: </w:t>
      </w:r>
      <w:bookmarkStart w:id="0" w:name="_GoBack"/>
      <w:bookmarkEnd w:id="0"/>
    </w:p>
    <w:p w:rsidR="006A0374" w:rsidRPr="006A0374" w:rsidRDefault="006A0374" w:rsidP="006A0374">
      <w:pPr>
        <w:tabs>
          <w:tab w:val="left" w:pos="993"/>
          <w:tab w:val="center" w:pos="4677"/>
        </w:tabs>
        <w:spacing w:after="0" w:line="360" w:lineRule="auto"/>
        <w:ind w:left="34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книг по работе с глиной, керамикой, гончарное дело </w:t>
      </w:r>
    </w:p>
    <w:p w:rsidR="006A0374" w:rsidRPr="006A0374" w:rsidRDefault="002C2D53" w:rsidP="006A0374">
      <w:pPr>
        <w:tabs>
          <w:tab w:val="left" w:pos="993"/>
          <w:tab w:val="center" w:pos="4677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6A0374" w:rsidRPr="000802E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https://vk.com/wall-78559590_84284</w:t>
        </w:r>
      </w:hyperlink>
    </w:p>
    <w:p w:rsidR="006A0374" w:rsidRPr="006A0374" w:rsidRDefault="006A0374" w:rsidP="006A0374">
      <w:pPr>
        <w:tabs>
          <w:tab w:val="left" w:pos="993"/>
        </w:tabs>
        <w:spacing w:after="160" w:line="360" w:lineRule="auto"/>
        <w:ind w:left="34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0374">
        <w:rPr>
          <w:rFonts w:ascii="Times New Roman" w:eastAsia="Calibri" w:hAnsi="Times New Roman" w:cs="Times New Roman"/>
          <w:sz w:val="28"/>
          <w:szCs w:val="28"/>
        </w:rPr>
        <w:t xml:space="preserve">Единственный в мире музей архитектурной художественной керамики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7" w:history="1">
        <w:r w:rsidRPr="006A03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https://www.keramarch.ru/</w:t>
        </w:r>
      </w:hyperlink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3C27DD" w:rsidRPr="0093553D" w:rsidRDefault="0093553D" w:rsidP="003C27DD">
      <w:pPr>
        <w:tabs>
          <w:tab w:val="left" w:pos="1134"/>
        </w:tabs>
        <w:spacing w:after="0" w:line="240" w:lineRule="auto"/>
        <w:ind w:left="1778" w:hanging="17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1.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Баткус М. Рисунок. – М.: ООО Изд. АСТ, 2009</w:t>
      </w:r>
      <w:r w:rsidR="00214A1D">
        <w:rPr>
          <w:rFonts w:ascii="Times New Roman" w:eastAsia="Calibri" w:hAnsi="Times New Roman" w:cs="Times New Roman"/>
          <w:sz w:val="28"/>
          <w:szCs w:val="28"/>
        </w:rPr>
        <w:t>,-32с.,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DD" w:rsidRPr="003C27D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2.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Вицер В. Живописная грамота. Основы пейзажа. - СПб</w:t>
      </w:r>
      <w:proofErr w:type="gramStart"/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Изд. </w:t>
      </w:r>
      <w:proofErr w:type="spellStart"/>
      <w:r w:rsidR="003C27DD" w:rsidRPr="003C27DD">
        <w:rPr>
          <w:rFonts w:ascii="Times New Roman" w:eastAsia="Calibri" w:hAnsi="Times New Roman" w:cs="Times New Roman"/>
          <w:sz w:val="28"/>
          <w:szCs w:val="28"/>
        </w:rPr>
        <w:t>ПитерПресс</w:t>
      </w:r>
      <w:proofErr w:type="spellEnd"/>
      <w:r w:rsidR="003C27DD" w:rsidRPr="003C27DD">
        <w:rPr>
          <w:rFonts w:ascii="Times New Roman" w:eastAsia="Calibri" w:hAnsi="Times New Roman" w:cs="Times New Roman"/>
          <w:sz w:val="28"/>
          <w:szCs w:val="28"/>
        </w:rPr>
        <w:t>, 2007</w:t>
      </w:r>
      <w:r w:rsidR="00214A1D">
        <w:rPr>
          <w:rFonts w:ascii="Times New Roman" w:eastAsia="Calibri" w:hAnsi="Times New Roman" w:cs="Times New Roman"/>
          <w:sz w:val="28"/>
          <w:szCs w:val="28"/>
        </w:rPr>
        <w:t>,-192с.,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DD" w:rsidRPr="003C27D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3.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Величко Н. Русская роспись. Техника, приёмы, изделия. Энциклопедия. – М.: АСТ-пресс, 1999</w:t>
      </w:r>
      <w:r w:rsidR="00214A1D">
        <w:rPr>
          <w:rFonts w:ascii="Times New Roman" w:eastAsia="Calibri" w:hAnsi="Times New Roman" w:cs="Times New Roman"/>
          <w:sz w:val="28"/>
          <w:szCs w:val="28"/>
        </w:rPr>
        <w:t>,-174с.,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DD" w:rsidRPr="0093553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4.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Галанов А.С., Корнилова С.Н., Куликова С.Л. Занятия со школьниками по изобразительному искусству. – М.: Сфера, 2000</w:t>
      </w:r>
      <w:r w:rsidR="00214A1D">
        <w:rPr>
          <w:rFonts w:ascii="Times New Roman" w:eastAsia="Calibri" w:hAnsi="Times New Roman" w:cs="Times New Roman"/>
          <w:sz w:val="28"/>
          <w:szCs w:val="28"/>
        </w:rPr>
        <w:t>,-80с.,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DD" w:rsidRPr="0093553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5.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Галкина Т.В. Музейно-краеведческая практика: основы музееведения, краеведения и </w:t>
      </w:r>
      <w:proofErr w:type="spellStart"/>
      <w:r w:rsidR="003C27DD" w:rsidRPr="003C27DD">
        <w:rPr>
          <w:rFonts w:ascii="Times New Roman" w:eastAsia="Calibri" w:hAnsi="Times New Roman" w:cs="Times New Roman"/>
          <w:sz w:val="28"/>
          <w:szCs w:val="28"/>
        </w:rPr>
        <w:t>экскурсоведения</w:t>
      </w:r>
      <w:proofErr w:type="spellEnd"/>
      <w:r w:rsidR="003C27DD" w:rsidRPr="003C27DD">
        <w:rPr>
          <w:rFonts w:ascii="Times New Roman" w:eastAsia="Calibri" w:hAnsi="Times New Roman" w:cs="Times New Roman"/>
          <w:sz w:val="28"/>
          <w:szCs w:val="28"/>
        </w:rPr>
        <w:t>. Учебно-методическое пособие. — Томск: ТГПУ, 2009</w:t>
      </w:r>
      <w:r w:rsidR="00214A1D">
        <w:rPr>
          <w:rFonts w:ascii="Times New Roman" w:eastAsia="Calibri" w:hAnsi="Times New Roman" w:cs="Times New Roman"/>
          <w:sz w:val="28"/>
          <w:szCs w:val="28"/>
        </w:rPr>
        <w:t>,-156с.,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DD" w:rsidRPr="0093553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6.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Галкина, Т.В. Музееведение: детский музей. Учебно-методическое пособие. – Томск: ТГПУ, 2004</w:t>
      </w:r>
      <w:r w:rsidR="00214A1D">
        <w:rPr>
          <w:rFonts w:ascii="Times New Roman" w:eastAsia="Calibri" w:hAnsi="Times New Roman" w:cs="Times New Roman"/>
          <w:sz w:val="28"/>
          <w:szCs w:val="28"/>
        </w:rPr>
        <w:t>,-32с.,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DD" w:rsidRPr="0093553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Дюбоск Дуг, Как рисовать перспективу. – Минск</w:t>
      </w:r>
      <w:proofErr w:type="gramStart"/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3C27DD" w:rsidRPr="003C27DD">
        <w:rPr>
          <w:rFonts w:ascii="Times New Roman" w:eastAsia="Calibri" w:hAnsi="Times New Roman" w:cs="Times New Roman"/>
          <w:sz w:val="28"/>
          <w:szCs w:val="28"/>
        </w:rPr>
        <w:t>Попурри Минск, 2001</w:t>
      </w:r>
      <w:r w:rsidR="00214A1D">
        <w:rPr>
          <w:rFonts w:ascii="Times New Roman" w:eastAsia="Calibri" w:hAnsi="Times New Roman" w:cs="Times New Roman"/>
          <w:sz w:val="28"/>
          <w:szCs w:val="28"/>
        </w:rPr>
        <w:t>,-64с.,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DD" w:rsidRPr="0093553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8.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Копцева Т.А. Природа и </w:t>
      </w:r>
      <w:r w:rsidR="00214A1D">
        <w:rPr>
          <w:rFonts w:ascii="Times New Roman" w:eastAsia="Calibri" w:hAnsi="Times New Roman" w:cs="Times New Roman"/>
          <w:sz w:val="28"/>
          <w:szCs w:val="28"/>
        </w:rPr>
        <w:t>художник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. – М.: Сфера, 2001</w:t>
      </w:r>
      <w:r w:rsidR="00214A1D">
        <w:rPr>
          <w:rFonts w:ascii="Times New Roman" w:eastAsia="Calibri" w:hAnsi="Times New Roman" w:cs="Times New Roman"/>
          <w:sz w:val="28"/>
          <w:szCs w:val="28"/>
        </w:rPr>
        <w:t>,-205с.,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DD" w:rsidRPr="003C27D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9.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Коз</w:t>
      </w:r>
      <w:r w:rsidR="00214A1D">
        <w:rPr>
          <w:rFonts w:ascii="Times New Roman" w:eastAsia="Calibri" w:hAnsi="Times New Roman" w:cs="Times New Roman"/>
          <w:sz w:val="28"/>
          <w:szCs w:val="28"/>
        </w:rPr>
        <w:t>л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ина А.В. Уроки ручного труда в детском саду и начальной школе. – М.: Мозаик</w:t>
      </w:r>
      <w:proofErr w:type="gramStart"/>
      <w:r w:rsidR="003C27DD" w:rsidRPr="003C27DD">
        <w:rPr>
          <w:rFonts w:ascii="Times New Roman" w:eastAsia="Calibri" w:hAnsi="Times New Roman" w:cs="Times New Roman"/>
          <w:sz w:val="28"/>
          <w:szCs w:val="28"/>
        </w:rPr>
        <w:t>а</w:t>
      </w:r>
      <w:r w:rsidR="00214A1D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Синтез, 200</w:t>
      </w:r>
      <w:r w:rsidR="00214A1D">
        <w:rPr>
          <w:rFonts w:ascii="Times New Roman" w:eastAsia="Calibri" w:hAnsi="Times New Roman" w:cs="Times New Roman"/>
          <w:sz w:val="28"/>
          <w:szCs w:val="28"/>
        </w:rPr>
        <w:t>8,-64с.,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DD" w:rsidRPr="0093553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10.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Кузин В.С. Программы для общеобразовательных школ, гимназий, лицеев. Изобразительное искусство. - М.: Дрофа, 1999</w:t>
      </w:r>
      <w:r w:rsidR="00214A1D">
        <w:rPr>
          <w:rFonts w:ascii="Times New Roman" w:eastAsia="Calibri" w:hAnsi="Times New Roman" w:cs="Times New Roman"/>
          <w:sz w:val="28"/>
          <w:szCs w:val="28"/>
        </w:rPr>
        <w:t>,-46с.,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DD" w:rsidRPr="0093553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11.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Коротеева Е.И. Искусство и ты. - М.: Просвещение, 20</w:t>
      </w:r>
      <w:r w:rsidR="00214A1D">
        <w:rPr>
          <w:rFonts w:ascii="Times New Roman" w:eastAsia="Calibri" w:hAnsi="Times New Roman" w:cs="Times New Roman"/>
          <w:sz w:val="28"/>
          <w:szCs w:val="28"/>
        </w:rPr>
        <w:t>17,-144с.,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17E2" w:rsidRPr="00A917E2" w:rsidRDefault="00A917E2" w:rsidP="00A917E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917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Рабочие тетради для </w:t>
      </w:r>
      <w:proofErr w:type="gramStart"/>
      <w:r w:rsidRPr="00A917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A917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A917E2" w:rsidRPr="00A917E2" w:rsidRDefault="00A917E2" w:rsidP="00A917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Т.А., </w:t>
      </w:r>
      <w:proofErr w:type="spellStart"/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Никольская Р.И. , Сорокина Г.И.  «Детская риторика в рассказах и рисунках» 1 класс 1-2 часть Издательский дом «С-инфо» Издательство «</w:t>
      </w:r>
      <w:proofErr w:type="spellStart"/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Баллас</w:t>
      </w:r>
      <w:proofErr w:type="spellEnd"/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ЛТД» Москва, 1998</w:t>
      </w:r>
      <w:r w:rsidR="0021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,-93с.,</w:t>
      </w:r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17E2" w:rsidRPr="00A917E2" w:rsidRDefault="00A917E2" w:rsidP="00A917E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917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Методические рекомендации для учителей:</w:t>
      </w:r>
    </w:p>
    <w:p w:rsidR="00A917E2" w:rsidRPr="00A917E2" w:rsidRDefault="00A917E2" w:rsidP="00A917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Н.В., Никольская Р.И., Сорокина Г.И. «Детская риторика в рассказах и рисунках» 1 класс Издательский дом «С-инфо» Издательство «</w:t>
      </w:r>
      <w:proofErr w:type="spellStart"/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Баллас</w:t>
      </w:r>
      <w:proofErr w:type="spellEnd"/>
      <w:r w:rsidRPr="00A9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ЛТД» Москва, 1994</w:t>
      </w:r>
      <w:r w:rsidR="0086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,-93с.,</w:t>
      </w:r>
    </w:p>
    <w:p w:rsidR="008B1B8C" w:rsidRPr="0093553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1</w:t>
      </w:r>
      <w:r w:rsidR="002C2D53">
        <w:rPr>
          <w:rFonts w:ascii="Times New Roman" w:eastAsia="Calibri" w:hAnsi="Times New Roman" w:cs="Times New Roman"/>
          <w:sz w:val="28"/>
          <w:szCs w:val="28"/>
        </w:rPr>
        <w:t>4</w:t>
      </w:r>
      <w:r w:rsidRPr="0093553D">
        <w:rPr>
          <w:rFonts w:ascii="Times New Roman" w:eastAsia="Calibri" w:hAnsi="Times New Roman" w:cs="Times New Roman"/>
          <w:sz w:val="28"/>
          <w:szCs w:val="28"/>
        </w:rPr>
        <w:t>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Кимон Н. Естественный путь к рисованию. – Минск</w:t>
      </w:r>
      <w:proofErr w:type="gramStart"/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3C27DD" w:rsidRPr="003C27DD">
        <w:rPr>
          <w:rFonts w:ascii="Times New Roman" w:eastAsia="Calibri" w:hAnsi="Times New Roman" w:cs="Times New Roman"/>
          <w:sz w:val="28"/>
          <w:szCs w:val="28"/>
        </w:rPr>
        <w:t>Попурри Минск, 200</w:t>
      </w:r>
      <w:r w:rsidR="008654A3">
        <w:rPr>
          <w:rFonts w:ascii="Times New Roman" w:eastAsia="Calibri" w:hAnsi="Times New Roman" w:cs="Times New Roman"/>
          <w:sz w:val="28"/>
          <w:szCs w:val="28"/>
        </w:rPr>
        <w:t>3,-207с.,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7DD" w:rsidRPr="0093553D" w:rsidRDefault="0093553D" w:rsidP="003C27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1</w:t>
      </w:r>
      <w:r w:rsidR="002C2D53">
        <w:rPr>
          <w:rFonts w:ascii="Times New Roman" w:eastAsia="Calibri" w:hAnsi="Times New Roman" w:cs="Times New Roman"/>
          <w:sz w:val="28"/>
          <w:szCs w:val="28"/>
        </w:rPr>
        <w:t>5</w:t>
      </w:r>
      <w:r w:rsidRPr="0093553D">
        <w:rPr>
          <w:rFonts w:ascii="Times New Roman" w:eastAsia="Calibri" w:hAnsi="Times New Roman" w:cs="Times New Roman"/>
          <w:sz w:val="28"/>
          <w:szCs w:val="28"/>
        </w:rPr>
        <w:t>.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Коваль О. </w:t>
      </w:r>
      <w:r w:rsidR="008B1B8C" w:rsidRPr="003C27DD">
        <w:rPr>
          <w:rFonts w:ascii="Times New Roman" w:eastAsia="Calibri" w:hAnsi="Times New Roman" w:cs="Times New Roman"/>
          <w:sz w:val="28"/>
          <w:szCs w:val="28"/>
        </w:rPr>
        <w:t xml:space="preserve">Сенин   В. 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>Школа рисунка карандашом. – М.: БММ, 2007</w:t>
      </w:r>
      <w:r w:rsidR="008654A3">
        <w:rPr>
          <w:rFonts w:ascii="Times New Roman" w:eastAsia="Calibri" w:hAnsi="Times New Roman" w:cs="Times New Roman"/>
          <w:sz w:val="28"/>
          <w:szCs w:val="28"/>
        </w:rPr>
        <w:t>,-90с.,</w:t>
      </w:r>
      <w:r w:rsidR="003C27DD" w:rsidRPr="003C2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3267" w:rsidRPr="00713267" w:rsidRDefault="008654A3" w:rsidP="0071326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2C2D53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93553D" w:rsidRPr="0093553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13267" w:rsidRPr="009355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Столяров Б.А. </w:t>
      </w:r>
      <w:r w:rsidR="00713267" w:rsidRPr="00713267">
        <w:rPr>
          <w:rFonts w:ascii="Times New Roman" w:eastAsia="Calibri" w:hAnsi="Times New Roman" w:cs="Times New Roman"/>
          <w:color w:val="000000"/>
          <w:sz w:val="28"/>
          <w:szCs w:val="28"/>
        </w:rPr>
        <w:t>Музейная педагогика в школ</w:t>
      </w:r>
      <w:proofErr w:type="gramStart"/>
      <w:r w:rsidR="00713267" w:rsidRPr="00713267">
        <w:rPr>
          <w:rFonts w:ascii="Times New Roman" w:eastAsia="Calibri" w:hAnsi="Times New Roman" w:cs="Times New Roman"/>
          <w:color w:val="000000"/>
          <w:sz w:val="28"/>
          <w:szCs w:val="28"/>
        </w:rPr>
        <w:t>е–</w:t>
      </w:r>
      <w:proofErr w:type="gramEnd"/>
      <w:r w:rsidR="00713267" w:rsidRPr="007132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СПб: Государственный     Русский музей, 2005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,-216с.,</w:t>
      </w:r>
      <w:r w:rsidR="00713267" w:rsidRPr="007132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13267" w:rsidRPr="00713267" w:rsidRDefault="00A917E2" w:rsidP="0071326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2C2D53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93553D" w:rsidRPr="0093553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13267" w:rsidRPr="00713267">
        <w:rPr>
          <w:rFonts w:ascii="Times New Roman" w:eastAsia="Calibri" w:hAnsi="Times New Roman" w:cs="Times New Roman"/>
          <w:color w:val="000000"/>
          <w:sz w:val="28"/>
          <w:szCs w:val="28"/>
        </w:rPr>
        <w:t>Сапанжа, О.С. Основы музейной коммуникации. Учебное пособие. СПб</w:t>
      </w:r>
      <w:proofErr w:type="gramStart"/>
      <w:r w:rsidR="00713267" w:rsidRPr="007132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713267" w:rsidRPr="00713267">
        <w:rPr>
          <w:rFonts w:ascii="Times New Roman" w:eastAsia="Calibri" w:hAnsi="Times New Roman" w:cs="Times New Roman"/>
          <w:color w:val="000000"/>
          <w:sz w:val="28"/>
          <w:szCs w:val="28"/>
        </w:rPr>
        <w:t>2007</w:t>
      </w:r>
      <w:r w:rsidR="008654A3">
        <w:rPr>
          <w:rFonts w:ascii="Times New Roman" w:eastAsia="Calibri" w:hAnsi="Times New Roman" w:cs="Times New Roman"/>
          <w:color w:val="000000"/>
          <w:sz w:val="28"/>
          <w:szCs w:val="28"/>
        </w:rPr>
        <w:t>,-260с.,</w:t>
      </w:r>
      <w:r w:rsidR="00713267" w:rsidRPr="007132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</w:p>
    <w:p w:rsidR="008B1B8C" w:rsidRPr="0093553D" w:rsidRDefault="008654A3" w:rsidP="008B1B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C2D5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3553D" w:rsidRPr="009355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1B8C" w:rsidRPr="0093553D">
        <w:rPr>
          <w:rFonts w:ascii="Times New Roman" w:hAnsi="Times New Roman" w:cs="Times New Roman"/>
          <w:sz w:val="28"/>
          <w:szCs w:val="28"/>
          <w:lang w:eastAsia="ru-RU"/>
        </w:rPr>
        <w:t xml:space="preserve">Федотов 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  <w:r w:rsidR="008B1B8C" w:rsidRPr="0093553D">
        <w:rPr>
          <w:rFonts w:ascii="Times New Roman" w:hAnsi="Times New Roman" w:cs="Times New Roman"/>
          <w:sz w:val="28"/>
          <w:szCs w:val="28"/>
          <w:lang w:eastAsia="ru-RU"/>
        </w:rPr>
        <w:t>Послушная глина  - М.</w:t>
      </w:r>
      <w:proofErr w:type="gramStart"/>
      <w:r w:rsidR="008B1B8C" w:rsidRPr="0093553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B1B8C" w:rsidRPr="0093553D">
        <w:rPr>
          <w:rFonts w:ascii="Times New Roman" w:hAnsi="Times New Roman" w:cs="Times New Roman"/>
          <w:sz w:val="28"/>
          <w:szCs w:val="28"/>
          <w:lang w:eastAsia="ru-RU"/>
        </w:rPr>
        <w:t xml:space="preserve"> АСТ-пресс, 1997</w:t>
      </w:r>
      <w:r>
        <w:rPr>
          <w:rFonts w:ascii="Times New Roman" w:hAnsi="Times New Roman" w:cs="Times New Roman"/>
          <w:sz w:val="28"/>
          <w:szCs w:val="28"/>
          <w:lang w:eastAsia="ru-RU"/>
        </w:rPr>
        <w:t>,-139с.,</w:t>
      </w:r>
      <w:r w:rsidR="008B1B8C" w:rsidRPr="00935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1B8C" w:rsidRPr="0093553D" w:rsidRDefault="002C2D53" w:rsidP="008B1B8C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19</w:t>
      </w:r>
      <w:r w:rsidR="0093553D" w:rsidRPr="009355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8B1B8C" w:rsidRPr="009355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Федотов Г.</w:t>
      </w:r>
      <w:r w:rsidR="008654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Я. </w:t>
      </w:r>
      <w:r w:rsidR="008B1B8C" w:rsidRPr="009355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Глина и керамика: </w:t>
      </w:r>
      <w:proofErr w:type="spellStart"/>
      <w:r w:rsidR="008B1B8C" w:rsidRPr="009355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Ориг</w:t>
      </w:r>
      <w:proofErr w:type="spellEnd"/>
      <w:r w:rsidR="008B1B8C" w:rsidRPr="009355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рис., черт., схемы, </w:t>
      </w:r>
      <w:proofErr w:type="spellStart"/>
      <w:r w:rsidR="008B1B8C" w:rsidRPr="009355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8B1B8C" w:rsidRPr="009355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совет</w:t>
      </w:r>
      <w:proofErr w:type="gramStart"/>
      <w:r w:rsidR="008B1B8C" w:rsidRPr="009355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8B1B8C" w:rsidRPr="009355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М. : ЭКСМО-Пресс, 2002</w:t>
      </w:r>
      <w:r w:rsidR="008654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,-157с.,</w:t>
      </w:r>
      <w:r w:rsidR="008B1B8C" w:rsidRPr="009355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B8C" w:rsidRPr="0093553D" w:rsidRDefault="0093553D" w:rsidP="008B1B8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2</w:t>
      </w:r>
      <w:r w:rsidR="002C2D53">
        <w:rPr>
          <w:rFonts w:ascii="Times New Roman" w:eastAsia="Calibri" w:hAnsi="Times New Roman" w:cs="Times New Roman"/>
          <w:sz w:val="28"/>
          <w:szCs w:val="28"/>
        </w:rPr>
        <w:t>0</w:t>
      </w:r>
      <w:r w:rsidRPr="0093553D">
        <w:rPr>
          <w:rFonts w:ascii="Times New Roman" w:eastAsia="Calibri" w:hAnsi="Times New Roman" w:cs="Times New Roman"/>
          <w:sz w:val="28"/>
          <w:szCs w:val="28"/>
        </w:rPr>
        <w:t>.</w:t>
      </w:r>
      <w:r w:rsidR="008B1B8C" w:rsidRPr="008B1B8C">
        <w:rPr>
          <w:rFonts w:ascii="Times New Roman" w:eastAsia="Calibri" w:hAnsi="Times New Roman" w:cs="Times New Roman"/>
          <w:sz w:val="28"/>
          <w:szCs w:val="28"/>
        </w:rPr>
        <w:t>Хамм Джек. Как рисовать животных – Минск: Попурри Минск, 200</w:t>
      </w:r>
      <w:r w:rsidR="008654A3">
        <w:rPr>
          <w:rFonts w:ascii="Times New Roman" w:eastAsia="Calibri" w:hAnsi="Times New Roman" w:cs="Times New Roman"/>
          <w:sz w:val="28"/>
          <w:szCs w:val="28"/>
        </w:rPr>
        <w:t>7,-128с.,</w:t>
      </w:r>
      <w:r w:rsidR="008B1B8C" w:rsidRPr="008B1B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1B8C" w:rsidRPr="008B1B8C" w:rsidRDefault="0093553D" w:rsidP="008B1B8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2</w:t>
      </w:r>
      <w:r w:rsidR="002C2D53">
        <w:rPr>
          <w:rFonts w:ascii="Times New Roman" w:eastAsia="Calibri" w:hAnsi="Times New Roman" w:cs="Times New Roman"/>
          <w:sz w:val="28"/>
          <w:szCs w:val="28"/>
        </w:rPr>
        <w:t>1</w:t>
      </w:r>
      <w:r w:rsidRPr="0093553D">
        <w:rPr>
          <w:rFonts w:ascii="Times New Roman" w:eastAsia="Calibri" w:hAnsi="Times New Roman" w:cs="Times New Roman"/>
          <w:sz w:val="28"/>
          <w:szCs w:val="28"/>
        </w:rPr>
        <w:t>.</w:t>
      </w:r>
      <w:r w:rsidR="008B1B8C" w:rsidRPr="008B1B8C">
        <w:rPr>
          <w:rFonts w:ascii="Times New Roman" w:eastAsia="Calibri" w:hAnsi="Times New Roman" w:cs="Times New Roman"/>
          <w:sz w:val="28"/>
          <w:szCs w:val="28"/>
        </w:rPr>
        <w:t>Харт Кристофер. Анатомия для художников. Совсем просто – Минск: Попурри Минск, 2008</w:t>
      </w:r>
      <w:r w:rsidR="008654A3">
        <w:rPr>
          <w:rFonts w:ascii="Times New Roman" w:eastAsia="Calibri" w:hAnsi="Times New Roman" w:cs="Times New Roman"/>
          <w:sz w:val="28"/>
          <w:szCs w:val="28"/>
        </w:rPr>
        <w:t>,-141с.,</w:t>
      </w:r>
      <w:r w:rsidR="008B1B8C" w:rsidRPr="008B1B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1B8C" w:rsidRPr="008B1B8C" w:rsidRDefault="0093553D" w:rsidP="008B1B8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53D">
        <w:rPr>
          <w:rFonts w:ascii="Times New Roman" w:eastAsia="Calibri" w:hAnsi="Times New Roman" w:cs="Times New Roman"/>
          <w:sz w:val="28"/>
          <w:szCs w:val="28"/>
        </w:rPr>
        <w:t>2</w:t>
      </w:r>
      <w:r w:rsidR="002C2D53">
        <w:rPr>
          <w:rFonts w:ascii="Times New Roman" w:eastAsia="Calibri" w:hAnsi="Times New Roman" w:cs="Times New Roman"/>
          <w:sz w:val="28"/>
          <w:szCs w:val="28"/>
        </w:rPr>
        <w:t>2</w:t>
      </w:r>
      <w:r w:rsidRPr="0093553D">
        <w:rPr>
          <w:rFonts w:ascii="Times New Roman" w:eastAsia="Calibri" w:hAnsi="Times New Roman" w:cs="Times New Roman"/>
          <w:sz w:val="28"/>
          <w:szCs w:val="28"/>
        </w:rPr>
        <w:t>.</w:t>
      </w:r>
      <w:r w:rsidR="008B1B8C" w:rsidRPr="008B1B8C">
        <w:rPr>
          <w:rFonts w:ascii="Times New Roman" w:eastAsia="Calibri" w:hAnsi="Times New Roman" w:cs="Times New Roman"/>
          <w:sz w:val="28"/>
          <w:szCs w:val="28"/>
        </w:rPr>
        <w:t>Хантли Мойра. Учитесь рисовать природу. – Минск</w:t>
      </w:r>
      <w:proofErr w:type="gramStart"/>
      <w:r w:rsidR="008B1B8C" w:rsidRPr="008B1B8C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8B1B8C" w:rsidRPr="008B1B8C">
        <w:rPr>
          <w:rFonts w:ascii="Times New Roman" w:eastAsia="Calibri" w:hAnsi="Times New Roman" w:cs="Times New Roman"/>
          <w:sz w:val="28"/>
          <w:szCs w:val="28"/>
        </w:rPr>
        <w:t>Попурри Минск, 2009</w:t>
      </w:r>
      <w:r w:rsidR="008654A3">
        <w:rPr>
          <w:rFonts w:ascii="Times New Roman" w:eastAsia="Calibri" w:hAnsi="Times New Roman" w:cs="Times New Roman"/>
          <w:sz w:val="28"/>
          <w:szCs w:val="28"/>
        </w:rPr>
        <w:t>,-48с.,</w:t>
      </w:r>
      <w:r w:rsidR="008B1B8C" w:rsidRPr="008B1B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3267" w:rsidRPr="0093553D" w:rsidRDefault="0093553D" w:rsidP="0071326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5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C2D5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355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93553D">
        <w:rPr>
          <w:rFonts w:ascii="Times New Roman" w:hAnsi="Times New Roman" w:cs="Times New Roman"/>
          <w:sz w:val="28"/>
          <w:szCs w:val="28"/>
          <w:shd w:val="clear" w:color="auto" w:fill="FFFFFF"/>
        </w:rPr>
        <w:t>Эткин Дж</w:t>
      </w:r>
      <w:r w:rsidR="00A068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93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Керамика для начинающих.</w:t>
      </w:r>
      <w:r w:rsidR="00713267" w:rsidRPr="0093553D">
        <w:rPr>
          <w:rFonts w:ascii="Times New Roman" w:hAnsi="Times New Roman" w:cs="Times New Roman"/>
          <w:sz w:val="28"/>
          <w:szCs w:val="28"/>
        </w:rPr>
        <w:t xml:space="preserve">- М.: </w:t>
      </w:r>
      <w:r w:rsidR="00713267" w:rsidRPr="00935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Издательство</w:t>
      </w:r>
      <w:r w:rsidR="00713267" w:rsidRPr="0093553D">
        <w:rPr>
          <w:rFonts w:ascii="Times New Roman" w:hAnsi="Times New Roman" w:cs="Times New Roman"/>
          <w:sz w:val="28"/>
          <w:szCs w:val="28"/>
          <w:shd w:val="clear" w:color="auto" w:fill="FFFFFF"/>
        </w:rPr>
        <w:t>: Арт-родник</w:t>
      </w:r>
      <w:r w:rsidR="00713267" w:rsidRPr="0093553D">
        <w:rPr>
          <w:rFonts w:ascii="Times New Roman" w:hAnsi="Times New Roman" w:cs="Times New Roman"/>
          <w:sz w:val="28"/>
          <w:szCs w:val="28"/>
        </w:rPr>
        <w:t xml:space="preserve">, </w:t>
      </w:r>
      <w:r w:rsidR="00713267" w:rsidRPr="0093553D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8654A3">
        <w:rPr>
          <w:rFonts w:ascii="Times New Roman" w:hAnsi="Times New Roman" w:cs="Times New Roman"/>
          <w:sz w:val="28"/>
          <w:szCs w:val="28"/>
          <w:shd w:val="clear" w:color="auto" w:fill="FFFFFF"/>
        </w:rPr>
        <w:t>,-128с.</w:t>
      </w:r>
    </w:p>
    <w:p w:rsidR="00A0687B" w:rsidRDefault="00A0687B" w:rsidP="0093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E3" w:rsidRDefault="009240E3" w:rsidP="0093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53D" w:rsidRDefault="0093553D" w:rsidP="0093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3D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2C2D53" w:rsidRPr="0093553D" w:rsidRDefault="002C2D53" w:rsidP="00935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267" w:rsidRDefault="00447E8E" w:rsidP="00713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E8E">
        <w:rPr>
          <w:rFonts w:ascii="Times New Roman" w:hAnsi="Times New Roman" w:cs="Times New Roman"/>
          <w:sz w:val="28"/>
          <w:szCs w:val="28"/>
        </w:rPr>
        <w:t>Приложение к ДООП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E8E">
        <w:rPr>
          <w:rFonts w:ascii="Times New Roman" w:hAnsi="Times New Roman" w:cs="Times New Roman"/>
          <w:sz w:val="28"/>
          <w:szCs w:val="28"/>
        </w:rPr>
        <w:t>4</w:t>
      </w:r>
    </w:p>
    <w:p w:rsidR="00A0687B" w:rsidRDefault="00A0687B" w:rsidP="00713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E8E" w:rsidRDefault="00447E8E" w:rsidP="00447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E8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447E8E" w:rsidRDefault="00447E8E" w:rsidP="00447E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3F7B" w:rsidRDefault="00447E8E" w:rsidP="00447E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74039"/>
    <w:rsid w:val="00084733"/>
    <w:rsid w:val="000C0546"/>
    <w:rsid w:val="000E72EE"/>
    <w:rsid w:val="00125048"/>
    <w:rsid w:val="001A528E"/>
    <w:rsid w:val="001C24CD"/>
    <w:rsid w:val="00214A1D"/>
    <w:rsid w:val="002234D0"/>
    <w:rsid w:val="0025472E"/>
    <w:rsid w:val="002564F3"/>
    <w:rsid w:val="00296C5D"/>
    <w:rsid w:val="002C2D53"/>
    <w:rsid w:val="002C3AE4"/>
    <w:rsid w:val="002E08B0"/>
    <w:rsid w:val="002E7BC5"/>
    <w:rsid w:val="00334DD3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47E8E"/>
    <w:rsid w:val="00497284"/>
    <w:rsid w:val="0054503E"/>
    <w:rsid w:val="00553F7B"/>
    <w:rsid w:val="00590F54"/>
    <w:rsid w:val="005E1346"/>
    <w:rsid w:val="00642367"/>
    <w:rsid w:val="00645E8B"/>
    <w:rsid w:val="006539CD"/>
    <w:rsid w:val="00683D6E"/>
    <w:rsid w:val="00697283"/>
    <w:rsid w:val="006978EC"/>
    <w:rsid w:val="006A0374"/>
    <w:rsid w:val="006B239A"/>
    <w:rsid w:val="006B41C6"/>
    <w:rsid w:val="00713267"/>
    <w:rsid w:val="00714A87"/>
    <w:rsid w:val="007C4666"/>
    <w:rsid w:val="007D0499"/>
    <w:rsid w:val="007F044A"/>
    <w:rsid w:val="008344B7"/>
    <w:rsid w:val="008654A3"/>
    <w:rsid w:val="00882DB1"/>
    <w:rsid w:val="008A7BF5"/>
    <w:rsid w:val="008B1B8C"/>
    <w:rsid w:val="00915396"/>
    <w:rsid w:val="009240E3"/>
    <w:rsid w:val="0093553D"/>
    <w:rsid w:val="00965407"/>
    <w:rsid w:val="00995099"/>
    <w:rsid w:val="009C32E9"/>
    <w:rsid w:val="009D3412"/>
    <w:rsid w:val="00A0687B"/>
    <w:rsid w:val="00A2131A"/>
    <w:rsid w:val="00A458AC"/>
    <w:rsid w:val="00A50D1B"/>
    <w:rsid w:val="00A71A00"/>
    <w:rsid w:val="00A917E2"/>
    <w:rsid w:val="00AE43C9"/>
    <w:rsid w:val="00B51212"/>
    <w:rsid w:val="00BF1F65"/>
    <w:rsid w:val="00C016DD"/>
    <w:rsid w:val="00C35783"/>
    <w:rsid w:val="00C45C76"/>
    <w:rsid w:val="00C734BF"/>
    <w:rsid w:val="00CD234F"/>
    <w:rsid w:val="00E36DD2"/>
    <w:rsid w:val="00E7779E"/>
    <w:rsid w:val="00E924F4"/>
    <w:rsid w:val="00EA28F0"/>
    <w:rsid w:val="00EA32C0"/>
    <w:rsid w:val="00EC3F08"/>
    <w:rsid w:val="00EC6E70"/>
    <w:rsid w:val="00EC7559"/>
    <w:rsid w:val="00F439DF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eramar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8559590_84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25</cp:revision>
  <cp:lastPrinted>2023-02-01T12:30:00Z</cp:lastPrinted>
  <dcterms:created xsi:type="dcterms:W3CDTF">2022-06-23T12:56:00Z</dcterms:created>
  <dcterms:modified xsi:type="dcterms:W3CDTF">2023-02-01T12:33:00Z</dcterms:modified>
</cp:coreProperties>
</file>