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B960E1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9A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B9" w:rsidRPr="00FA72B9" w:rsidRDefault="00EC6E70" w:rsidP="00FA72B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FA72B9">
        <w:rPr>
          <w:rFonts w:ascii="Times New Roman" w:hAnsi="Times New Roman" w:cs="Times New Roman"/>
          <w:sz w:val="28"/>
          <w:szCs w:val="28"/>
          <w:lang w:val="x-none"/>
        </w:rPr>
        <w:t>формирование знаний, умений и навыков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B960E1" w:rsidRPr="00FA72B9">
        <w:rPr>
          <w:rFonts w:ascii="Times New Roman" w:hAnsi="Times New Roman" w:cs="Times New Roman"/>
          <w:sz w:val="28"/>
          <w:szCs w:val="28"/>
        </w:rPr>
        <w:t>Композиция</w:t>
      </w:r>
      <w:r w:rsidR="00211CF6" w:rsidRPr="00FA72B9">
        <w:rPr>
          <w:rFonts w:ascii="Times New Roman" w:hAnsi="Times New Roman" w:cs="Times New Roman"/>
          <w:sz w:val="28"/>
          <w:szCs w:val="28"/>
        </w:rPr>
        <w:t>», соответствующих критериям вступительных испытаний на программы подготовки бакалавров архитектурно-художественных направлений.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учебы раскрывается роль композиции как средства познания, действенного инструмента для решения различных творческих задач.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-ознакомление с законами стереометрии и умения их использовать при выполнении работы;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-научить выполнению композиции из геометрических тел, сгруппировав заданные геометрические тела в выразительную объемно-пространственную композицию;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умения правильно организовать компоновку листа;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-формирование умения выдерживать заданные пропорции, соединяя геометрические тела между собой через врезки, используя законы линейной перспективы;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72B9">
        <w:rPr>
          <w:rFonts w:ascii="Times New Roman" w:hAnsi="Times New Roman" w:cs="Times New Roman"/>
          <w:sz w:val="28"/>
          <w:szCs w:val="28"/>
          <w:lang w:eastAsia="ru-RU"/>
        </w:rPr>
        <w:t>-формирование  понятия о выразительных средствах композиции: композиционный центр, ритм, линия, силуэт, статика, динамика, пропорции;</w:t>
      </w:r>
      <w:proofErr w:type="gramEnd"/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композиции для достижения образной выразительности.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71595F">
        <w:rPr>
          <w:rFonts w:ascii="Times New Roman" w:hAnsi="Times New Roman" w:cs="Times New Roman"/>
          <w:sz w:val="28"/>
          <w:szCs w:val="28"/>
        </w:rPr>
        <w:t>8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21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F7583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8D6B6A" w:rsidRDefault="00757BC6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слушателей курсов к творческому конкурсу по </w:t>
      </w:r>
      <w:r w:rsidR="00FA72B9">
        <w:rPr>
          <w:rFonts w:ascii="Times New Roman" w:hAnsi="Times New Roman" w:cs="Times New Roman"/>
          <w:sz w:val="28"/>
          <w:szCs w:val="28"/>
        </w:rPr>
        <w:t>композиции</w:t>
      </w:r>
      <w:r w:rsidRPr="008D6B6A">
        <w:rPr>
          <w:rFonts w:ascii="Times New Roman" w:hAnsi="Times New Roman" w:cs="Times New Roman"/>
          <w:sz w:val="28"/>
          <w:szCs w:val="28"/>
        </w:rPr>
        <w:t>, профильной подготовки учащихся к поступлению в архитектурно-художественные ВУЗы: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lang w:eastAsia="ru-RU"/>
        </w:rPr>
        <w:t>-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>знать формат проведения творческого конкурса по композиции из геометрических тел, специфику заданий;</w:t>
      </w:r>
    </w:p>
    <w:p w:rsidR="00FA72B9" w:rsidRPr="00FA72B9" w:rsidRDefault="00FA72B9" w:rsidP="00FA72B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-уметь организовать компоновку листа, соблюдать основные законы линейной и световоздушной перспективы, пропорций и конструктивного построения композиции из геометрических тел;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-владеть знаниями основ перспективного построения плоскостных, объемных и объемно-пространственных композиций из геометрических тел;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-смогут строить плоскостные, объемные и объемно-пространственные композиции из геометрических фигур на заданные темы, рисовать геометрические тела в перспективном изображении с одной, двумя и тремя точками схода, передавать свойства понятия через плоскостную композицию из геометрических фигур и объемно-пространственную композицию в перспективном изображении с тоновой проработкой.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FA72B9" w:rsidRDefault="00FA72B9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FA72B9" w:rsidRDefault="00FA72B9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результатов освоения программы подготовительных курсов по предмету "</w:t>
      </w:r>
      <w:r w:rsidR="00FA72B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Композиция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наименование специализированных учебных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Вид занятий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наименование оборудования</w:t>
            </w:r>
          </w:p>
        </w:tc>
      </w:tr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кабинет, обеспечивающий качественное ведение учебного процесса по дисциплине "композиция".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практика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 должен быть специально оборудован наглядными пособиями, удобной  мебелью: столы, стулья, осветительное оборудование;</w:t>
            </w:r>
          </w:p>
          <w:p w:rsidR="00D32091" w:rsidRPr="00D32091" w:rsidRDefault="00D32091" w:rsidP="00D32091">
            <w:pPr>
              <w:jc w:val="both"/>
            </w:pPr>
            <w:r w:rsidRPr="00D32091">
              <w:t>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</w:tbl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D3209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  <w:bookmarkStart w:id="0" w:name="_GoBack"/>
      <w:bookmarkEnd w:id="0"/>
    </w:p>
    <w:p w:rsidR="00D32091" w:rsidRPr="00D32091" w:rsidRDefault="009A4B92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 </w:t>
      </w:r>
      <w:r w:rsidR="00D32091"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"Основы композиции" "Изобразительное искусство" Москва 2001г.;</w:t>
      </w:r>
      <w:r w:rsidR="0009546E">
        <w:rPr>
          <w:rFonts w:ascii="Times New Roman" w:eastAsia="Times New Roman" w:hAnsi="Times New Roman" w:cs="Times New Roman"/>
          <w:sz w:val="28"/>
          <w:szCs w:val="28"/>
          <w:lang w:eastAsia="ru-RU"/>
        </w:rPr>
        <w:t>-120с.,</w:t>
      </w:r>
    </w:p>
    <w:p w:rsidR="00D32091" w:rsidRPr="009A4B92" w:rsidRDefault="009A4B92" w:rsidP="009A4B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4B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="00D32091" w:rsidRPr="009A4B92">
        <w:rPr>
          <w:rFonts w:ascii="Times New Roman" w:hAnsi="Times New Roman" w:cs="Times New Roman"/>
          <w:sz w:val="28"/>
          <w:szCs w:val="28"/>
          <w:lang w:eastAsia="ru-RU"/>
        </w:rPr>
        <w:t>Кольстет</w:t>
      </w:r>
      <w:proofErr w:type="spellEnd"/>
      <w:r w:rsidR="00D32091" w:rsidRPr="009A4B92">
        <w:rPr>
          <w:rFonts w:ascii="Times New Roman" w:hAnsi="Times New Roman" w:cs="Times New Roman"/>
          <w:sz w:val="28"/>
          <w:szCs w:val="28"/>
          <w:lang w:eastAsia="ru-RU"/>
        </w:rPr>
        <w:t xml:space="preserve"> О.А. Композиция (для абитуриентов</w:t>
      </w:r>
      <w:r w:rsidR="008824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091" w:rsidRPr="009A4B92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поступающих в архитектурные</w:t>
      </w:r>
      <w:r w:rsidR="00882448">
        <w:rPr>
          <w:rFonts w:ascii="Times New Roman" w:hAnsi="Times New Roman" w:cs="Times New Roman"/>
          <w:sz w:val="28"/>
          <w:szCs w:val="28"/>
          <w:lang w:eastAsia="ru-RU"/>
        </w:rPr>
        <w:t xml:space="preserve"> вузы): учебное пособие. Ростов н/Дону: </w:t>
      </w:r>
      <w:proofErr w:type="spellStart"/>
      <w:r w:rsidR="00882448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proofErr w:type="gramStart"/>
      <w:r w:rsidR="00882448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882448">
        <w:rPr>
          <w:rFonts w:ascii="Times New Roman" w:hAnsi="Times New Roman" w:cs="Times New Roman"/>
          <w:sz w:val="28"/>
          <w:szCs w:val="28"/>
          <w:lang w:eastAsia="ru-RU"/>
        </w:rPr>
        <w:t>ос.строит.ун</w:t>
      </w:r>
      <w:proofErr w:type="spellEnd"/>
      <w:r w:rsidR="00882448">
        <w:rPr>
          <w:rFonts w:ascii="Times New Roman" w:hAnsi="Times New Roman" w:cs="Times New Roman"/>
          <w:sz w:val="28"/>
          <w:szCs w:val="28"/>
          <w:lang w:eastAsia="ru-RU"/>
        </w:rPr>
        <w:t xml:space="preserve">-т, </w:t>
      </w:r>
      <w:r w:rsidR="00D32091" w:rsidRPr="009A4B92">
        <w:rPr>
          <w:rFonts w:ascii="Times New Roman" w:hAnsi="Times New Roman" w:cs="Times New Roman"/>
          <w:sz w:val="28"/>
          <w:szCs w:val="28"/>
          <w:lang w:eastAsia="ru-RU"/>
        </w:rPr>
        <w:t>2014</w:t>
      </w:r>
      <w:r w:rsidR="00882448">
        <w:rPr>
          <w:rFonts w:ascii="Times New Roman" w:hAnsi="Times New Roman" w:cs="Times New Roman"/>
          <w:sz w:val="28"/>
          <w:szCs w:val="28"/>
          <w:lang w:eastAsia="ru-RU"/>
        </w:rPr>
        <w:t>г.-70с.</w:t>
      </w:r>
      <w:r w:rsidR="00D32091" w:rsidRPr="009A4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catalog.iot.ru – каталог образовательных ресурсов в сети Интернет </w:t>
      </w:r>
    </w:p>
    <w:p w:rsidR="00D32091" w:rsidRPr="00D32091" w:rsidRDefault="00D32091" w:rsidP="00D32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73" w:rsidRDefault="00827D73" w:rsidP="008D6B6A">
      <w:pPr>
        <w:spacing w:after="0" w:line="240" w:lineRule="auto"/>
      </w:pPr>
      <w:r>
        <w:separator/>
      </w:r>
    </w:p>
  </w:endnote>
  <w:endnote w:type="continuationSeparator" w:id="0">
    <w:p w:rsidR="00827D73" w:rsidRDefault="00827D73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307637"/>
      <w:docPartObj>
        <w:docPartGallery w:val="Page Numbers (Bottom of Page)"/>
        <w:docPartUnique/>
      </w:docPartObj>
    </w:sdtPr>
    <w:sdtEndPr/>
    <w:sdtContent>
      <w:p w:rsidR="00E02999" w:rsidRDefault="00E029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48">
          <w:rPr>
            <w:noProof/>
          </w:rPr>
          <w:t>9</w:t>
        </w:r>
        <w:r>
          <w:fldChar w:fldCharType="end"/>
        </w:r>
      </w:p>
    </w:sdtContent>
  </w:sdt>
  <w:p w:rsidR="00E02999" w:rsidRDefault="00E029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73" w:rsidRDefault="00827D73" w:rsidP="008D6B6A">
      <w:pPr>
        <w:spacing w:after="0" w:line="240" w:lineRule="auto"/>
      </w:pPr>
      <w:r>
        <w:separator/>
      </w:r>
    </w:p>
  </w:footnote>
  <w:footnote w:type="continuationSeparator" w:id="0">
    <w:p w:rsidR="00827D73" w:rsidRDefault="00827D73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9546E"/>
    <w:rsid w:val="000A0344"/>
    <w:rsid w:val="000C0546"/>
    <w:rsid w:val="000E4E84"/>
    <w:rsid w:val="000E72EE"/>
    <w:rsid w:val="00125048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97284"/>
    <w:rsid w:val="004A512A"/>
    <w:rsid w:val="004F56EA"/>
    <w:rsid w:val="005301FD"/>
    <w:rsid w:val="0054503E"/>
    <w:rsid w:val="00553F7B"/>
    <w:rsid w:val="00564574"/>
    <w:rsid w:val="00590F54"/>
    <w:rsid w:val="005E1346"/>
    <w:rsid w:val="005E3B35"/>
    <w:rsid w:val="005F0CF4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C4666"/>
    <w:rsid w:val="007D0499"/>
    <w:rsid w:val="007F044A"/>
    <w:rsid w:val="007F3AE7"/>
    <w:rsid w:val="00827D73"/>
    <w:rsid w:val="008344B7"/>
    <w:rsid w:val="00865D3E"/>
    <w:rsid w:val="00873FC7"/>
    <w:rsid w:val="00882448"/>
    <w:rsid w:val="00882DB1"/>
    <w:rsid w:val="008973A7"/>
    <w:rsid w:val="008A7BF5"/>
    <w:rsid w:val="008B1B8C"/>
    <w:rsid w:val="008C51A6"/>
    <w:rsid w:val="008C51B5"/>
    <w:rsid w:val="008D6B6A"/>
    <w:rsid w:val="008E7A3D"/>
    <w:rsid w:val="009114D6"/>
    <w:rsid w:val="00915396"/>
    <w:rsid w:val="0093553D"/>
    <w:rsid w:val="00965407"/>
    <w:rsid w:val="009702DF"/>
    <w:rsid w:val="0098306E"/>
    <w:rsid w:val="00995099"/>
    <w:rsid w:val="009A4B92"/>
    <w:rsid w:val="009C32E9"/>
    <w:rsid w:val="009D3412"/>
    <w:rsid w:val="009E15F6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960E1"/>
    <w:rsid w:val="00BF1F65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32091"/>
    <w:rsid w:val="00D91EDF"/>
    <w:rsid w:val="00E02999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D5E40"/>
    <w:rsid w:val="00EF19BB"/>
    <w:rsid w:val="00EF7AE2"/>
    <w:rsid w:val="00F25425"/>
    <w:rsid w:val="00F41573"/>
    <w:rsid w:val="00F439DF"/>
    <w:rsid w:val="00F75837"/>
    <w:rsid w:val="00F86C6D"/>
    <w:rsid w:val="00F94E32"/>
    <w:rsid w:val="00FA0ABB"/>
    <w:rsid w:val="00FA72B9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7B37-33E9-4ABE-A3F7-ABFFAC05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55</cp:revision>
  <cp:lastPrinted>2023-02-08T10:13:00Z</cp:lastPrinted>
  <dcterms:created xsi:type="dcterms:W3CDTF">2022-06-23T12:56:00Z</dcterms:created>
  <dcterms:modified xsi:type="dcterms:W3CDTF">2023-02-08T10:16:00Z</dcterms:modified>
</cp:coreProperties>
</file>