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14"/>
        <w:gridCol w:w="7357"/>
      </w:tblGrid>
      <w:tr w:rsidR="00306198" w:rsidRPr="00907491" w14:paraId="1933F74C" w14:textId="77777777" w:rsidTr="000A27C5">
        <w:trPr>
          <w:trHeight w:val="321"/>
          <w:jc w:val="center"/>
        </w:trPr>
        <w:tc>
          <w:tcPr>
            <w:tcW w:w="2237" w:type="dxa"/>
            <w:vMerge w:val="restart"/>
            <w:tcBorders>
              <w:top w:val="threeDEngrave" w:sz="12" w:space="0" w:color="auto"/>
            </w:tcBorders>
            <w:vAlign w:val="center"/>
          </w:tcPr>
          <w:p w14:paraId="2F740C80" w14:textId="77777777" w:rsidR="00306198" w:rsidRPr="00014499" w:rsidRDefault="00306198" w:rsidP="007921DC">
            <w:pPr>
              <w:widowControl w:val="0"/>
              <w:tabs>
                <w:tab w:val="center" w:pos="4677"/>
                <w:tab w:val="right" w:pos="9355"/>
              </w:tabs>
              <w:ind w:firstLine="0"/>
              <w:contextualSpacing/>
              <w:jc w:val="center"/>
              <w:rPr>
                <w:noProof/>
              </w:rPr>
            </w:pPr>
            <w:r w:rsidRPr="0001449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2117E3" wp14:editId="4F9E45E4">
                  <wp:extent cx="1128879" cy="646981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4" cy="659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tcBorders>
              <w:top w:val="threeDEngrave" w:sz="12" w:space="0" w:color="auto"/>
            </w:tcBorders>
            <w:vAlign w:val="center"/>
          </w:tcPr>
          <w:p w14:paraId="12105FB2" w14:textId="77777777" w:rsidR="00306198" w:rsidRPr="00014499" w:rsidRDefault="00306198" w:rsidP="007921DC">
            <w:pPr>
              <w:widowControl w:val="0"/>
              <w:tabs>
                <w:tab w:val="left" w:pos="72"/>
                <w:tab w:val="left" w:pos="158"/>
                <w:tab w:val="left" w:pos="252"/>
              </w:tabs>
              <w:ind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14499">
              <w:rPr>
                <w:b/>
                <w:bCs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</w:tc>
      </w:tr>
      <w:tr w:rsidR="00306198" w:rsidRPr="00907491" w14:paraId="43AFAED1" w14:textId="77777777" w:rsidTr="00EC5AA0">
        <w:trPr>
          <w:trHeight w:val="1171"/>
          <w:jc w:val="center"/>
        </w:trPr>
        <w:tc>
          <w:tcPr>
            <w:tcW w:w="2237" w:type="dxa"/>
            <w:vMerge/>
            <w:tcBorders>
              <w:bottom w:val="threeDEngrave" w:sz="12" w:space="0" w:color="auto"/>
            </w:tcBorders>
          </w:tcPr>
          <w:p w14:paraId="79A2EAF5" w14:textId="77777777" w:rsidR="00306198" w:rsidRPr="00014499" w:rsidRDefault="00306198" w:rsidP="007921DC">
            <w:pPr>
              <w:widowControl w:val="0"/>
              <w:tabs>
                <w:tab w:val="center" w:pos="4677"/>
                <w:tab w:val="right" w:pos="9355"/>
              </w:tabs>
              <w:ind w:firstLine="0"/>
              <w:contextualSpacing/>
              <w:jc w:val="center"/>
            </w:pPr>
          </w:p>
        </w:tc>
        <w:tc>
          <w:tcPr>
            <w:tcW w:w="7905" w:type="dxa"/>
            <w:tcBorders>
              <w:bottom w:val="threeDEngrave" w:sz="12" w:space="0" w:color="auto"/>
            </w:tcBorders>
            <w:vAlign w:val="center"/>
          </w:tcPr>
          <w:p w14:paraId="7A1CBCBA" w14:textId="77777777" w:rsidR="00306198" w:rsidRPr="00014499" w:rsidRDefault="00306198" w:rsidP="007921DC">
            <w:pPr>
              <w:widowControl w:val="0"/>
              <w:tabs>
                <w:tab w:val="left" w:pos="72"/>
                <w:tab w:val="left" w:pos="158"/>
                <w:tab w:val="left" w:pos="252"/>
              </w:tabs>
              <w:ind w:firstLine="0"/>
              <w:contextualSpacing/>
              <w:jc w:val="center"/>
              <w:rPr>
                <w:bCs/>
                <w:sz w:val="20"/>
              </w:rPr>
            </w:pPr>
            <w:r w:rsidRPr="00014499">
              <w:rPr>
                <w:bCs/>
                <w:sz w:val="20"/>
              </w:rPr>
              <w:t>Федеральное государственное бюджетное образовательное учреждение</w:t>
            </w:r>
          </w:p>
          <w:p w14:paraId="3B8111FF" w14:textId="77777777" w:rsidR="00306198" w:rsidRPr="00014499" w:rsidRDefault="00306198" w:rsidP="007921DC">
            <w:pPr>
              <w:widowControl w:val="0"/>
              <w:tabs>
                <w:tab w:val="left" w:pos="72"/>
                <w:tab w:val="left" w:pos="158"/>
                <w:tab w:val="left" w:pos="252"/>
              </w:tabs>
              <w:ind w:firstLine="0"/>
              <w:contextualSpacing/>
              <w:jc w:val="center"/>
              <w:rPr>
                <w:bCs/>
                <w:sz w:val="20"/>
              </w:rPr>
            </w:pPr>
            <w:r w:rsidRPr="00014499">
              <w:rPr>
                <w:bCs/>
                <w:sz w:val="20"/>
              </w:rPr>
              <w:t>высшего образования</w:t>
            </w:r>
          </w:p>
          <w:p w14:paraId="619C492A" w14:textId="77777777" w:rsidR="00306198" w:rsidRPr="00306198" w:rsidRDefault="00306198" w:rsidP="007921DC">
            <w:pPr>
              <w:widowControl w:val="0"/>
              <w:tabs>
                <w:tab w:val="center" w:pos="4677"/>
                <w:tab w:val="right" w:pos="9355"/>
              </w:tabs>
              <w:ind w:firstLine="0"/>
              <w:contextualSpacing/>
              <w:jc w:val="center"/>
              <w:rPr>
                <w:b/>
              </w:rPr>
            </w:pPr>
            <w:r w:rsidRPr="00014499">
              <w:rPr>
                <w:b/>
              </w:rPr>
              <w:t>«Тюменский индустриальный университет»</w:t>
            </w:r>
          </w:p>
        </w:tc>
      </w:tr>
    </w:tbl>
    <w:p w14:paraId="45D26A9B" w14:textId="77777777" w:rsidR="00306198" w:rsidRPr="006D0502" w:rsidRDefault="00306198" w:rsidP="007921DC">
      <w:pPr>
        <w:widowControl w:val="0"/>
        <w:tabs>
          <w:tab w:val="left" w:pos="6322"/>
          <w:tab w:val="right" w:pos="9374"/>
        </w:tabs>
        <w:contextualSpacing/>
        <w:rPr>
          <w:szCs w:val="24"/>
        </w:rPr>
      </w:pPr>
    </w:p>
    <w:p w14:paraId="34509E9E" w14:textId="77777777" w:rsidR="00306198" w:rsidRPr="006D0502" w:rsidRDefault="00306198" w:rsidP="007921DC">
      <w:pPr>
        <w:widowControl w:val="0"/>
        <w:tabs>
          <w:tab w:val="left" w:pos="6322"/>
          <w:tab w:val="right" w:pos="9374"/>
        </w:tabs>
        <w:contextualSpacing/>
        <w:rPr>
          <w:szCs w:val="24"/>
        </w:rPr>
      </w:pPr>
    </w:p>
    <w:p w14:paraId="13E1D2DE" w14:textId="77777777" w:rsidR="00306198" w:rsidRPr="006D0502" w:rsidRDefault="00306198" w:rsidP="007921DC">
      <w:pPr>
        <w:widowControl w:val="0"/>
        <w:tabs>
          <w:tab w:val="left" w:pos="6322"/>
          <w:tab w:val="right" w:pos="9374"/>
        </w:tabs>
        <w:contextualSpacing/>
        <w:rPr>
          <w:szCs w:val="24"/>
        </w:rPr>
      </w:pPr>
    </w:p>
    <w:p w14:paraId="59633C5A" w14:textId="77777777" w:rsidR="00306198" w:rsidRPr="000A27C5" w:rsidRDefault="00B10A9A" w:rsidP="007921DC">
      <w:pPr>
        <w:widowControl w:val="0"/>
        <w:tabs>
          <w:tab w:val="left" w:pos="6322"/>
          <w:tab w:val="right" w:pos="9374"/>
        </w:tabs>
        <w:ind w:left="5103" w:firstLine="0"/>
        <w:contextualSpacing/>
        <w:jc w:val="left"/>
        <w:rPr>
          <w:b/>
          <w:szCs w:val="24"/>
        </w:rPr>
      </w:pPr>
      <w:r>
        <w:rPr>
          <w:b/>
          <w:szCs w:val="24"/>
        </w:rPr>
        <w:t>УТВЕРЖДЕН</w:t>
      </w:r>
    </w:p>
    <w:p w14:paraId="4F0F4141" w14:textId="77777777" w:rsidR="00306198" w:rsidRPr="000A27C5" w:rsidRDefault="00306198" w:rsidP="007921DC">
      <w:pPr>
        <w:widowControl w:val="0"/>
        <w:tabs>
          <w:tab w:val="left" w:pos="6322"/>
          <w:tab w:val="right" w:pos="9374"/>
        </w:tabs>
        <w:ind w:left="5103" w:firstLine="0"/>
        <w:contextualSpacing/>
        <w:jc w:val="left"/>
        <w:rPr>
          <w:szCs w:val="24"/>
        </w:rPr>
      </w:pPr>
      <w:r w:rsidRPr="000A27C5">
        <w:rPr>
          <w:szCs w:val="24"/>
        </w:rPr>
        <w:t xml:space="preserve">Решением Ученого совета </w:t>
      </w:r>
    </w:p>
    <w:p w14:paraId="17473E6C" w14:textId="4F210AFA" w:rsidR="00306198" w:rsidRPr="000A27C5" w:rsidRDefault="00306198" w:rsidP="007921DC">
      <w:pPr>
        <w:widowControl w:val="0"/>
        <w:tabs>
          <w:tab w:val="left" w:pos="6322"/>
          <w:tab w:val="right" w:pos="9374"/>
        </w:tabs>
        <w:ind w:left="5103" w:firstLine="0"/>
        <w:contextualSpacing/>
        <w:jc w:val="left"/>
        <w:rPr>
          <w:szCs w:val="24"/>
        </w:rPr>
      </w:pPr>
      <w:r w:rsidRPr="000A27C5">
        <w:rPr>
          <w:szCs w:val="24"/>
        </w:rPr>
        <w:t>(</w:t>
      </w:r>
      <w:proofErr w:type="gramStart"/>
      <w:r w:rsidRPr="000A27C5">
        <w:rPr>
          <w:szCs w:val="24"/>
        </w:rPr>
        <w:t>протокол</w:t>
      </w:r>
      <w:proofErr w:type="gramEnd"/>
      <w:r w:rsidRPr="000A27C5">
        <w:rPr>
          <w:szCs w:val="24"/>
        </w:rPr>
        <w:t xml:space="preserve"> от </w:t>
      </w:r>
      <w:r w:rsidR="00E15FCE">
        <w:rPr>
          <w:szCs w:val="24"/>
        </w:rPr>
        <w:t>29.04</w:t>
      </w:r>
      <w:r w:rsidR="00A96414" w:rsidRPr="00E944EE">
        <w:rPr>
          <w:szCs w:val="24"/>
        </w:rPr>
        <w:t>.202</w:t>
      </w:r>
      <w:r w:rsidR="000234BC" w:rsidRPr="00E944EE">
        <w:rPr>
          <w:szCs w:val="24"/>
        </w:rPr>
        <w:t>6</w:t>
      </w:r>
      <w:r w:rsidRPr="00E944EE">
        <w:rPr>
          <w:szCs w:val="24"/>
        </w:rPr>
        <w:t xml:space="preserve"> № </w:t>
      </w:r>
      <w:r w:rsidR="00E15FCE">
        <w:rPr>
          <w:szCs w:val="24"/>
        </w:rPr>
        <w:t>10-доп</w:t>
      </w:r>
      <w:r w:rsidRPr="00E944EE">
        <w:rPr>
          <w:szCs w:val="24"/>
        </w:rPr>
        <w:t>)</w:t>
      </w:r>
    </w:p>
    <w:p w14:paraId="2332669D" w14:textId="77777777" w:rsidR="000A27C5" w:rsidRDefault="000A27C5" w:rsidP="007921DC">
      <w:pPr>
        <w:widowControl w:val="0"/>
        <w:tabs>
          <w:tab w:val="left" w:pos="6322"/>
          <w:tab w:val="right" w:pos="9374"/>
        </w:tabs>
        <w:ind w:left="5103" w:firstLine="0"/>
        <w:contextualSpacing/>
        <w:jc w:val="left"/>
        <w:rPr>
          <w:szCs w:val="24"/>
        </w:rPr>
      </w:pPr>
    </w:p>
    <w:p w14:paraId="5F976369" w14:textId="77777777" w:rsidR="00306198" w:rsidRDefault="00306198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4DCD8CD5" w14:textId="77777777" w:rsidR="007563BA" w:rsidRDefault="007563BA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61A0B17A" w14:textId="77777777" w:rsidR="007563BA" w:rsidRDefault="007563BA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  <w:bookmarkStart w:id="0" w:name="_GoBack"/>
      <w:bookmarkEnd w:id="0"/>
    </w:p>
    <w:p w14:paraId="6CC576F3" w14:textId="77777777" w:rsidR="007563BA" w:rsidRDefault="007563BA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6E713C1D" w14:textId="77777777" w:rsidR="007563BA" w:rsidRDefault="007563BA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091C1DD9" w14:textId="77777777" w:rsidR="007563BA" w:rsidRDefault="007563BA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16B1C44F" w14:textId="77777777" w:rsidR="007563BA" w:rsidRDefault="007563BA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3CC4C033" w14:textId="77777777" w:rsidR="007563BA" w:rsidRPr="006D0502" w:rsidRDefault="007563BA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630E3287" w14:textId="77777777" w:rsidR="00306198" w:rsidRPr="006D0502" w:rsidRDefault="00306198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32B54241" w14:textId="77777777" w:rsidR="00306198" w:rsidRPr="006D0502" w:rsidRDefault="00306198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6EBB8FF4" w14:textId="77777777" w:rsidR="00306198" w:rsidRPr="006D0502" w:rsidRDefault="00306198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2C8E6367" w14:textId="77777777" w:rsidR="00306198" w:rsidRPr="006D0502" w:rsidRDefault="00306198" w:rsidP="007921DC">
      <w:pPr>
        <w:pStyle w:val="Iauiue"/>
        <w:widowControl w:val="0"/>
        <w:contextualSpacing/>
        <w:jc w:val="center"/>
        <w:rPr>
          <w:sz w:val="24"/>
          <w:szCs w:val="24"/>
          <w:lang w:val="ru-RU"/>
        </w:rPr>
      </w:pPr>
    </w:p>
    <w:p w14:paraId="6D881F49" w14:textId="77777777" w:rsidR="00306198" w:rsidRPr="006D0502" w:rsidRDefault="00306198" w:rsidP="007921DC">
      <w:pPr>
        <w:widowControl w:val="0"/>
        <w:ind w:firstLine="0"/>
        <w:contextualSpacing/>
        <w:jc w:val="center"/>
        <w:rPr>
          <w:b/>
          <w:szCs w:val="24"/>
        </w:rPr>
      </w:pPr>
      <w:r w:rsidRPr="006D0502">
        <w:rPr>
          <w:b/>
          <w:szCs w:val="24"/>
        </w:rPr>
        <w:t>ПРОТОКОЛ АКТУАЛИЗАЦИИ</w:t>
      </w:r>
    </w:p>
    <w:p w14:paraId="1A252E8E" w14:textId="77777777" w:rsidR="00306198" w:rsidRPr="006D0502" w:rsidRDefault="00306198" w:rsidP="007921DC">
      <w:pPr>
        <w:widowControl w:val="0"/>
        <w:ind w:firstLine="0"/>
        <w:contextualSpacing/>
        <w:jc w:val="center"/>
        <w:rPr>
          <w:b/>
          <w:szCs w:val="24"/>
        </w:rPr>
      </w:pPr>
    </w:p>
    <w:p w14:paraId="1F77BAF4" w14:textId="77777777" w:rsidR="00306198" w:rsidRPr="006D0502" w:rsidRDefault="00306198" w:rsidP="007921DC">
      <w:pPr>
        <w:widowControl w:val="0"/>
        <w:ind w:firstLine="0"/>
        <w:contextualSpacing/>
        <w:jc w:val="center"/>
        <w:rPr>
          <w:b/>
          <w:szCs w:val="24"/>
        </w:rPr>
      </w:pPr>
      <w:r w:rsidRPr="006D0502">
        <w:rPr>
          <w:b/>
          <w:szCs w:val="24"/>
        </w:rPr>
        <w:t xml:space="preserve">ОСНОВНОЙ ПРОФЕССИОНАЛЬНОЙ ОБРАЗОВАТЕЛЬНОЙ </w:t>
      </w:r>
    </w:p>
    <w:p w14:paraId="4F4BF36A" w14:textId="77777777" w:rsidR="00306198" w:rsidRPr="006D0502" w:rsidRDefault="00306198" w:rsidP="007921DC">
      <w:pPr>
        <w:widowControl w:val="0"/>
        <w:ind w:firstLine="0"/>
        <w:contextualSpacing/>
        <w:jc w:val="center"/>
        <w:rPr>
          <w:b/>
          <w:szCs w:val="24"/>
        </w:rPr>
      </w:pPr>
      <w:r w:rsidRPr="006D0502">
        <w:rPr>
          <w:b/>
          <w:szCs w:val="24"/>
        </w:rPr>
        <w:t>ПРОГРАММЫ ВЫСШЕГО ОБРАЗОВАНИЯ</w:t>
      </w:r>
    </w:p>
    <w:p w14:paraId="2FC5FC01" w14:textId="77777777" w:rsidR="00306198" w:rsidRDefault="00306198" w:rsidP="007921DC">
      <w:pPr>
        <w:widowControl w:val="0"/>
        <w:ind w:firstLine="0"/>
        <w:contextualSpacing/>
        <w:jc w:val="center"/>
        <w:rPr>
          <w:b/>
          <w:szCs w:val="24"/>
        </w:rPr>
      </w:pPr>
    </w:p>
    <w:p w14:paraId="59618BAD" w14:textId="77777777" w:rsidR="000A27C5" w:rsidRPr="006D0502" w:rsidRDefault="000A27C5" w:rsidP="007921DC">
      <w:pPr>
        <w:widowControl w:val="0"/>
        <w:ind w:firstLine="0"/>
        <w:contextualSpacing/>
        <w:jc w:val="center"/>
        <w:rPr>
          <w:b/>
          <w:szCs w:val="24"/>
        </w:rPr>
      </w:pPr>
    </w:p>
    <w:p w14:paraId="22CD2078" w14:textId="07FDB6BD" w:rsidR="00306198" w:rsidRPr="00306198" w:rsidRDefault="00E944EE" w:rsidP="007921DC">
      <w:pPr>
        <w:widowControl w:val="0"/>
        <w:tabs>
          <w:tab w:val="left" w:pos="7560"/>
          <w:tab w:val="right" w:pos="10114"/>
        </w:tabs>
        <w:ind w:firstLine="0"/>
        <w:contextualSpacing/>
        <w:rPr>
          <w:b/>
          <w:szCs w:val="24"/>
          <w:u w:val="single"/>
        </w:rPr>
      </w:pPr>
      <w:r>
        <w:rPr>
          <w:b/>
        </w:rPr>
        <w:t>С</w:t>
      </w:r>
      <w:r w:rsidR="00306198" w:rsidRPr="006D0502">
        <w:rPr>
          <w:b/>
        </w:rPr>
        <w:t>пециальность</w:t>
      </w:r>
      <w:r>
        <w:rPr>
          <w:b/>
        </w:rPr>
        <w:t xml:space="preserve"> </w:t>
      </w:r>
      <w:r w:rsidR="00B567AE" w:rsidRPr="00B567AE">
        <w:rPr>
          <w:b/>
          <w:szCs w:val="24"/>
          <w:u w:val="single"/>
        </w:rPr>
        <w:t>21.05.06 Нефтегазовые техника и технологии</w:t>
      </w:r>
    </w:p>
    <w:p w14:paraId="32636733" w14:textId="77777777" w:rsidR="000A27C5" w:rsidRDefault="000A27C5" w:rsidP="007921DC">
      <w:pPr>
        <w:widowControl w:val="0"/>
        <w:tabs>
          <w:tab w:val="left" w:pos="7560"/>
          <w:tab w:val="right" w:pos="10114"/>
        </w:tabs>
        <w:ind w:firstLine="0"/>
        <w:contextualSpacing/>
        <w:rPr>
          <w:i/>
          <w:color w:val="00B0F0"/>
          <w:sz w:val="16"/>
          <w:szCs w:val="16"/>
        </w:rPr>
      </w:pPr>
    </w:p>
    <w:p w14:paraId="442D1CCD" w14:textId="405DF428" w:rsidR="00306198" w:rsidRPr="00306198" w:rsidRDefault="00E944EE" w:rsidP="007921DC">
      <w:pPr>
        <w:widowControl w:val="0"/>
        <w:tabs>
          <w:tab w:val="left" w:pos="7560"/>
          <w:tab w:val="right" w:pos="10114"/>
        </w:tabs>
        <w:ind w:firstLine="0"/>
        <w:contextualSpacing/>
        <w:rPr>
          <w:b/>
          <w:szCs w:val="24"/>
          <w:u w:val="single"/>
        </w:rPr>
      </w:pPr>
      <w:proofErr w:type="gramStart"/>
      <w:r>
        <w:rPr>
          <w:b/>
        </w:rPr>
        <w:t>С</w:t>
      </w:r>
      <w:r w:rsidR="00306198" w:rsidRPr="006D0502">
        <w:rPr>
          <w:b/>
        </w:rPr>
        <w:t>пециализация</w:t>
      </w:r>
      <w:r>
        <w:rPr>
          <w:b/>
        </w:rPr>
        <w:t xml:space="preserve">  </w:t>
      </w:r>
      <w:r w:rsidR="002F5595" w:rsidRPr="002F5595">
        <w:rPr>
          <w:b/>
          <w:szCs w:val="24"/>
          <w:u w:val="single"/>
        </w:rPr>
        <w:t>Технология</w:t>
      </w:r>
      <w:proofErr w:type="gramEnd"/>
      <w:r w:rsidR="002F5595" w:rsidRPr="002F5595">
        <w:rPr>
          <w:b/>
          <w:szCs w:val="24"/>
          <w:u w:val="single"/>
        </w:rPr>
        <w:t xml:space="preserve"> бурения нефтяных и газовых скважин</w:t>
      </w:r>
    </w:p>
    <w:p w14:paraId="11B6B83F" w14:textId="77777777" w:rsidR="000A27C5" w:rsidRDefault="000A27C5" w:rsidP="007921DC">
      <w:pPr>
        <w:widowControl w:val="0"/>
        <w:tabs>
          <w:tab w:val="left" w:pos="7560"/>
          <w:tab w:val="right" w:pos="10114"/>
        </w:tabs>
        <w:ind w:firstLine="0"/>
        <w:contextualSpacing/>
        <w:jc w:val="left"/>
        <w:rPr>
          <w:i/>
          <w:color w:val="00B0F0"/>
          <w:sz w:val="16"/>
          <w:szCs w:val="16"/>
        </w:rPr>
      </w:pPr>
    </w:p>
    <w:p w14:paraId="29C6FF36" w14:textId="221A8447" w:rsidR="00306198" w:rsidRPr="006D0502" w:rsidRDefault="00306198" w:rsidP="007921DC">
      <w:pPr>
        <w:widowControl w:val="0"/>
        <w:tabs>
          <w:tab w:val="left" w:pos="7560"/>
          <w:tab w:val="right" w:pos="10114"/>
        </w:tabs>
        <w:ind w:firstLine="0"/>
        <w:contextualSpacing/>
        <w:jc w:val="left"/>
        <w:rPr>
          <w:szCs w:val="24"/>
        </w:rPr>
      </w:pPr>
      <w:r w:rsidRPr="006D0502">
        <w:rPr>
          <w:b/>
        </w:rPr>
        <w:t>Год начала</w:t>
      </w:r>
      <w:r>
        <w:rPr>
          <w:b/>
        </w:rPr>
        <w:t xml:space="preserve"> </w:t>
      </w:r>
      <w:r w:rsidRPr="003A4941">
        <w:rPr>
          <w:b/>
        </w:rPr>
        <w:t xml:space="preserve">подготовки     </w:t>
      </w:r>
      <w:r w:rsidRPr="00C16870">
        <w:rPr>
          <w:b/>
        </w:rPr>
        <w:t>202</w:t>
      </w:r>
      <w:r w:rsidR="00B567AE">
        <w:rPr>
          <w:b/>
        </w:rPr>
        <w:t>1</w:t>
      </w:r>
    </w:p>
    <w:p w14:paraId="5239888B" w14:textId="77777777" w:rsidR="00306198" w:rsidRPr="006D0502" w:rsidRDefault="00306198" w:rsidP="007921DC">
      <w:pPr>
        <w:widowControl w:val="0"/>
        <w:ind w:right="-57"/>
        <w:contextualSpacing/>
        <w:jc w:val="center"/>
        <w:rPr>
          <w:sz w:val="28"/>
          <w:szCs w:val="28"/>
        </w:rPr>
      </w:pPr>
    </w:p>
    <w:p w14:paraId="043812BE" w14:textId="77777777" w:rsidR="00306198" w:rsidRPr="006D0502" w:rsidRDefault="00306198" w:rsidP="007921DC">
      <w:pPr>
        <w:contextualSpacing/>
      </w:pPr>
    </w:p>
    <w:p w14:paraId="7633B91E" w14:textId="77777777" w:rsidR="00306198" w:rsidRPr="006D0502" w:rsidRDefault="00306198" w:rsidP="007921DC">
      <w:pPr>
        <w:contextualSpacing/>
      </w:pPr>
    </w:p>
    <w:p w14:paraId="3951B9A5" w14:textId="77777777" w:rsidR="00306198" w:rsidRPr="006D0502" w:rsidRDefault="00306198" w:rsidP="007921DC">
      <w:pPr>
        <w:contextualSpacing/>
      </w:pPr>
    </w:p>
    <w:p w14:paraId="0F4BD1A0" w14:textId="77777777" w:rsidR="00306198" w:rsidRPr="006D0502" w:rsidRDefault="00306198" w:rsidP="007921DC">
      <w:pPr>
        <w:contextualSpacing/>
      </w:pPr>
    </w:p>
    <w:p w14:paraId="6AB5A311" w14:textId="77777777" w:rsidR="00306198" w:rsidRDefault="00306198" w:rsidP="007921DC">
      <w:pPr>
        <w:contextualSpacing/>
      </w:pPr>
      <w:r>
        <w:br w:type="page"/>
      </w:r>
    </w:p>
    <w:p w14:paraId="553DA901" w14:textId="0059CBA6" w:rsidR="00306198" w:rsidRPr="00D9498C" w:rsidRDefault="00306198" w:rsidP="007921DC">
      <w:pPr>
        <w:contextualSpacing/>
        <w:rPr>
          <w:szCs w:val="24"/>
        </w:rPr>
      </w:pPr>
      <w:r w:rsidRPr="00D9498C">
        <w:rPr>
          <w:szCs w:val="24"/>
        </w:rPr>
        <w:lastRenderedPageBreak/>
        <w:t>С учётом развития науки, практики, культуры, экономики, технологий и социальной сферы, а также результатов мониторинга потребностей работодателей, рекомендаций, выработанных системой управления качеством Университета</w:t>
      </w:r>
      <w:r w:rsidR="005408A0">
        <w:rPr>
          <w:szCs w:val="24"/>
        </w:rPr>
        <w:t>,</w:t>
      </w:r>
      <w:r w:rsidRPr="00D9498C">
        <w:rPr>
          <w:szCs w:val="24"/>
        </w:rPr>
        <w:t xml:space="preserve"> произвести обновление </w:t>
      </w:r>
      <w:r w:rsidRPr="00A96414">
        <w:rPr>
          <w:szCs w:val="24"/>
        </w:rPr>
        <w:t>образовательной прогр</w:t>
      </w:r>
      <w:r w:rsidR="005408A0" w:rsidRPr="00A96414">
        <w:rPr>
          <w:szCs w:val="24"/>
        </w:rPr>
        <w:t xml:space="preserve">аммы </w:t>
      </w:r>
      <w:r w:rsidR="00190D16" w:rsidRPr="00190D16">
        <w:rPr>
          <w:szCs w:val="24"/>
        </w:rPr>
        <w:t>по</w:t>
      </w:r>
      <w:r w:rsidR="00190D16" w:rsidRPr="00190D16">
        <w:t xml:space="preserve"> специальности 21.05.06 «Нефтегазовые техника и технологии»</w:t>
      </w:r>
      <w:r w:rsidR="00190D16">
        <w:t xml:space="preserve"> </w:t>
      </w:r>
      <w:r w:rsidRPr="00C16870">
        <w:rPr>
          <w:szCs w:val="24"/>
        </w:rPr>
        <w:t>в следующих</w:t>
      </w:r>
      <w:r w:rsidRPr="005A39FC">
        <w:rPr>
          <w:szCs w:val="24"/>
        </w:rPr>
        <w:t xml:space="preserve"> видах:</w:t>
      </w:r>
    </w:p>
    <w:p w14:paraId="39895F6F" w14:textId="77777777" w:rsidR="00306198" w:rsidRPr="00D9498C" w:rsidRDefault="00306198" w:rsidP="007921DC">
      <w:pPr>
        <w:contextualSpacing/>
        <w:rPr>
          <w:szCs w:val="24"/>
        </w:rPr>
      </w:pPr>
    </w:p>
    <w:tbl>
      <w:tblPr>
        <w:tblStyle w:val="a5"/>
        <w:tblW w:w="4969" w:type="pct"/>
        <w:tblLook w:val="04A0" w:firstRow="1" w:lastRow="0" w:firstColumn="1" w:lastColumn="0" w:noHBand="0" w:noVBand="1"/>
      </w:tblPr>
      <w:tblGrid>
        <w:gridCol w:w="1029"/>
        <w:gridCol w:w="1992"/>
        <w:gridCol w:w="3942"/>
        <w:gridCol w:w="2549"/>
      </w:tblGrid>
      <w:tr w:rsidR="00306198" w:rsidRPr="000A27C5" w14:paraId="3E76B65A" w14:textId="77777777" w:rsidTr="007379AE">
        <w:tc>
          <w:tcPr>
            <w:tcW w:w="541" w:type="pct"/>
            <w:vAlign w:val="center"/>
          </w:tcPr>
          <w:p w14:paraId="661EF785" w14:textId="77777777" w:rsidR="00306198" w:rsidRPr="000A27C5" w:rsidRDefault="00306198" w:rsidP="007921DC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  <w:r w:rsidRPr="000A27C5">
              <w:rPr>
                <w:kern w:val="24"/>
                <w:szCs w:val="22"/>
              </w:rPr>
              <w:t>№</w:t>
            </w:r>
          </w:p>
        </w:tc>
        <w:tc>
          <w:tcPr>
            <w:tcW w:w="1047" w:type="pct"/>
            <w:vAlign w:val="center"/>
          </w:tcPr>
          <w:p w14:paraId="4D0A8D1F" w14:textId="77777777" w:rsidR="00306198" w:rsidRPr="000A27C5" w:rsidRDefault="00306198" w:rsidP="007921DC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  <w:r w:rsidRPr="000A27C5">
              <w:rPr>
                <w:szCs w:val="22"/>
              </w:rPr>
              <w:t>Вид обновлений</w:t>
            </w:r>
          </w:p>
        </w:tc>
        <w:tc>
          <w:tcPr>
            <w:tcW w:w="2072" w:type="pct"/>
            <w:vAlign w:val="center"/>
          </w:tcPr>
          <w:p w14:paraId="28D4B601" w14:textId="77777777" w:rsidR="00306198" w:rsidRPr="000A27C5" w:rsidRDefault="00306198" w:rsidP="007921DC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  <w:r w:rsidRPr="000A27C5">
              <w:rPr>
                <w:szCs w:val="22"/>
              </w:rPr>
              <w:t>Перечень изменений, вносимых в образовательную программу</w:t>
            </w:r>
          </w:p>
        </w:tc>
        <w:tc>
          <w:tcPr>
            <w:tcW w:w="1340" w:type="pct"/>
            <w:vAlign w:val="center"/>
          </w:tcPr>
          <w:p w14:paraId="035712BE" w14:textId="77777777" w:rsidR="00306198" w:rsidRPr="000A27C5" w:rsidRDefault="00306198" w:rsidP="007921DC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  <w:r w:rsidRPr="000A27C5">
              <w:rPr>
                <w:szCs w:val="22"/>
              </w:rPr>
              <w:t>Причины (аргументы внесения указанных изменений)</w:t>
            </w:r>
          </w:p>
        </w:tc>
      </w:tr>
      <w:tr w:rsidR="00D914F2" w:rsidRPr="007657CE" w14:paraId="47C2CD95" w14:textId="77777777" w:rsidTr="007379AE">
        <w:tc>
          <w:tcPr>
            <w:tcW w:w="541" w:type="pct"/>
            <w:vAlign w:val="center"/>
          </w:tcPr>
          <w:p w14:paraId="6B3E5E6E" w14:textId="77777777" w:rsidR="00D914F2" w:rsidRPr="007657CE" w:rsidRDefault="00D914F2" w:rsidP="00D914F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kern w:val="24"/>
                <w:szCs w:val="22"/>
              </w:rPr>
            </w:pPr>
            <w:r w:rsidRPr="007657CE">
              <w:rPr>
                <w:kern w:val="24"/>
                <w:szCs w:val="22"/>
              </w:rPr>
              <w:t>1</w:t>
            </w:r>
          </w:p>
        </w:tc>
        <w:tc>
          <w:tcPr>
            <w:tcW w:w="1047" w:type="pct"/>
            <w:vAlign w:val="center"/>
          </w:tcPr>
          <w:p w14:paraId="52B98397" w14:textId="2FD7FB17" w:rsidR="00D914F2" w:rsidRPr="00DC149A" w:rsidRDefault="00E67479" w:rsidP="00E944EE">
            <w:pPr>
              <w:widowControl w:val="0"/>
              <w:tabs>
                <w:tab w:val="left" w:pos="0"/>
              </w:tabs>
              <w:ind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0234BC" w:rsidRPr="000234BC">
              <w:rPr>
                <w:rFonts w:eastAsia="Calibri"/>
                <w:lang w:eastAsia="en-US"/>
              </w:rPr>
              <w:t>чебн</w:t>
            </w:r>
            <w:r>
              <w:rPr>
                <w:rFonts w:eastAsia="Calibri"/>
                <w:lang w:eastAsia="en-US"/>
              </w:rPr>
              <w:t>ый</w:t>
            </w:r>
            <w:r w:rsidR="000234BC" w:rsidRPr="000234BC">
              <w:rPr>
                <w:rFonts w:eastAsia="Calibri"/>
                <w:lang w:eastAsia="en-US"/>
              </w:rPr>
              <w:t xml:space="preserve"> план для приема</w:t>
            </w:r>
            <w:r w:rsidR="000234BC">
              <w:rPr>
                <w:rFonts w:eastAsia="Calibri"/>
                <w:lang w:eastAsia="en-US"/>
              </w:rPr>
              <w:t xml:space="preserve"> с 202</w:t>
            </w:r>
            <w:r w:rsidR="00E944EE">
              <w:rPr>
                <w:rFonts w:eastAsia="Calibri"/>
                <w:lang w:eastAsia="en-US"/>
              </w:rPr>
              <w:t>1</w:t>
            </w:r>
            <w:r w:rsidR="000234BC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2072" w:type="pct"/>
            <w:vAlign w:val="center"/>
          </w:tcPr>
          <w:p w14:paraId="31FA2BC5" w14:textId="605D394A" w:rsidR="00D914F2" w:rsidRPr="0083192E" w:rsidRDefault="000234BC" w:rsidP="00D914F2">
            <w:pPr>
              <w:widowControl w:val="0"/>
              <w:tabs>
                <w:tab w:val="left" w:pos="0"/>
              </w:tabs>
              <w:ind w:firstLine="0"/>
              <w:contextualSpacing/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Исключение из учебного плана государственного экзамена</w:t>
            </w:r>
          </w:p>
        </w:tc>
        <w:tc>
          <w:tcPr>
            <w:tcW w:w="1340" w:type="pct"/>
            <w:vMerge w:val="restart"/>
            <w:vAlign w:val="center"/>
          </w:tcPr>
          <w:p w14:paraId="656DFE54" w14:textId="7DFDE9DF" w:rsidR="00D914F2" w:rsidRPr="0083192E" w:rsidRDefault="00D914F2" w:rsidP="000234BC">
            <w:pPr>
              <w:widowControl w:val="0"/>
              <w:suppressLineNumbers/>
              <w:tabs>
                <w:tab w:val="left" w:pos="0"/>
              </w:tabs>
              <w:ind w:firstLine="0"/>
              <w:contextualSpacing/>
              <w:rPr>
                <w:rFonts w:eastAsia="Calibri"/>
                <w:lang w:eastAsia="en-US"/>
              </w:rPr>
            </w:pPr>
            <w:r w:rsidRPr="000A3131">
              <w:rPr>
                <w:rFonts w:eastAsia="Calibri"/>
                <w:lang w:eastAsia="en-US"/>
              </w:rPr>
              <w:t xml:space="preserve">Приказ ТИУ </w:t>
            </w:r>
            <w:r w:rsidR="000A3131" w:rsidRPr="000A3131">
              <w:rPr>
                <w:rFonts w:eastAsia="Calibri"/>
                <w:lang w:eastAsia="en-US"/>
              </w:rPr>
              <w:t xml:space="preserve">№ </w:t>
            </w:r>
            <w:r w:rsidR="000234BC">
              <w:rPr>
                <w:rFonts w:eastAsia="Calibri"/>
                <w:lang w:eastAsia="en-US"/>
              </w:rPr>
              <w:t>31</w:t>
            </w:r>
            <w:r w:rsidR="000A3131" w:rsidRPr="000A3131">
              <w:rPr>
                <w:rFonts w:eastAsia="Calibri"/>
                <w:lang w:eastAsia="en-US"/>
              </w:rPr>
              <w:t xml:space="preserve"> от </w:t>
            </w:r>
            <w:r w:rsidR="000234BC">
              <w:rPr>
                <w:rFonts w:eastAsia="Calibri"/>
                <w:lang w:eastAsia="en-US"/>
              </w:rPr>
              <w:t>27</w:t>
            </w:r>
            <w:r w:rsidR="000A3131" w:rsidRPr="000A3131">
              <w:rPr>
                <w:rFonts w:eastAsia="Calibri"/>
                <w:lang w:eastAsia="en-US"/>
              </w:rPr>
              <w:t>.0</w:t>
            </w:r>
            <w:r w:rsidR="000234BC">
              <w:rPr>
                <w:rFonts w:eastAsia="Calibri"/>
                <w:lang w:eastAsia="en-US"/>
              </w:rPr>
              <w:t>1</w:t>
            </w:r>
            <w:r w:rsidR="000A3131" w:rsidRPr="000A3131">
              <w:rPr>
                <w:rFonts w:eastAsia="Calibri"/>
                <w:lang w:eastAsia="en-US"/>
              </w:rPr>
              <w:t>.202</w:t>
            </w:r>
            <w:r w:rsidR="000234BC">
              <w:rPr>
                <w:rFonts w:eastAsia="Calibri"/>
                <w:lang w:eastAsia="en-US"/>
              </w:rPr>
              <w:t>6</w:t>
            </w:r>
            <w:r w:rsidR="000A3131" w:rsidRPr="000A3131">
              <w:rPr>
                <w:rFonts w:eastAsia="Calibri"/>
                <w:lang w:eastAsia="en-US"/>
              </w:rPr>
              <w:t xml:space="preserve"> </w:t>
            </w:r>
            <w:r w:rsidRPr="000A3131">
              <w:rPr>
                <w:rFonts w:eastAsia="Calibri"/>
                <w:lang w:eastAsia="en-US"/>
              </w:rPr>
              <w:t>«</w:t>
            </w:r>
            <w:r w:rsidR="000234BC">
              <w:rPr>
                <w:rFonts w:eastAsia="Calibri"/>
                <w:lang w:eastAsia="en-US"/>
              </w:rPr>
              <w:t>Об отмене с 2026-2027 учебного года государственного экзамена по программам высшего образования» (решение Ученого совета №05 от 29.12.2025)</w:t>
            </w:r>
          </w:p>
        </w:tc>
      </w:tr>
      <w:tr w:rsidR="00D914F2" w:rsidRPr="00DA7CAB" w14:paraId="0338A054" w14:textId="77777777" w:rsidTr="007379AE">
        <w:tc>
          <w:tcPr>
            <w:tcW w:w="541" w:type="pct"/>
            <w:vAlign w:val="center"/>
          </w:tcPr>
          <w:p w14:paraId="1755AAA4" w14:textId="77777777" w:rsidR="00D914F2" w:rsidRPr="00DA7CAB" w:rsidRDefault="00D914F2" w:rsidP="00D914F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kern w:val="24"/>
                <w:szCs w:val="22"/>
              </w:rPr>
            </w:pPr>
            <w:r w:rsidRPr="00DA7CAB">
              <w:rPr>
                <w:kern w:val="24"/>
                <w:szCs w:val="22"/>
              </w:rPr>
              <w:t>2</w:t>
            </w:r>
          </w:p>
        </w:tc>
        <w:tc>
          <w:tcPr>
            <w:tcW w:w="1047" w:type="pct"/>
            <w:vAlign w:val="center"/>
          </w:tcPr>
          <w:p w14:paraId="4C80236E" w14:textId="63543937" w:rsidR="00D914F2" w:rsidRPr="006D0502" w:rsidRDefault="00E67479" w:rsidP="00E67479">
            <w:pPr>
              <w:widowControl w:val="0"/>
              <w:tabs>
                <w:tab w:val="left" w:pos="0"/>
              </w:tabs>
              <w:ind w:firstLine="0"/>
              <w:contextualSpacing/>
              <w:rPr>
                <w:rFonts w:eastAsia="Calibri"/>
                <w:lang w:eastAsia="en-US"/>
              </w:rPr>
            </w:pPr>
            <w:r>
              <w:t>Программа</w:t>
            </w:r>
            <w:r w:rsidR="000234BC">
              <w:t xml:space="preserve"> ГИА</w:t>
            </w:r>
          </w:p>
        </w:tc>
        <w:tc>
          <w:tcPr>
            <w:tcW w:w="2072" w:type="pct"/>
            <w:vAlign w:val="center"/>
          </w:tcPr>
          <w:p w14:paraId="6ADC023C" w14:textId="597BE319" w:rsidR="00D914F2" w:rsidRPr="0083192E" w:rsidRDefault="001C5AA1" w:rsidP="00E67479">
            <w:pPr>
              <w:widowControl w:val="0"/>
              <w:tabs>
                <w:tab w:val="left" w:pos="0"/>
              </w:tabs>
              <w:ind w:firstLine="0"/>
              <w:contextualSpacing/>
              <w:rPr>
                <w:rFonts w:eastAsia="Calibri"/>
                <w:lang w:eastAsia="en-US"/>
              </w:rPr>
            </w:pPr>
            <w:r>
              <w:t xml:space="preserve">Разработка новой программы ГИА в связи с исключением из </w:t>
            </w:r>
            <w:r w:rsidR="00E67479">
              <w:t>ОПОП</w:t>
            </w:r>
            <w:r>
              <w:t xml:space="preserve"> государственного экзамена</w:t>
            </w:r>
          </w:p>
        </w:tc>
        <w:tc>
          <w:tcPr>
            <w:tcW w:w="1340" w:type="pct"/>
            <w:vMerge/>
          </w:tcPr>
          <w:p w14:paraId="154E9862" w14:textId="77777777" w:rsidR="00D914F2" w:rsidRPr="0083192E" w:rsidRDefault="00D914F2" w:rsidP="00D914F2">
            <w:pPr>
              <w:widowControl w:val="0"/>
              <w:suppressLineNumbers/>
              <w:tabs>
                <w:tab w:val="left" w:pos="0"/>
              </w:tabs>
              <w:ind w:firstLine="0"/>
              <w:contextualSpacing/>
              <w:jc w:val="left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17EF2643" w14:textId="77777777" w:rsidR="00306198" w:rsidRDefault="00306198" w:rsidP="007921DC">
      <w:pPr>
        <w:contextualSpacing/>
        <w:rPr>
          <w:szCs w:val="24"/>
        </w:rPr>
      </w:pPr>
    </w:p>
    <w:p w14:paraId="4C9BA118" w14:textId="77777777" w:rsidR="00760E81" w:rsidRPr="006D0502" w:rsidRDefault="00760E81" w:rsidP="007921DC">
      <w:pPr>
        <w:contextualSpacing/>
        <w:rPr>
          <w:szCs w:val="24"/>
        </w:rPr>
      </w:pPr>
    </w:p>
    <w:p w14:paraId="097FFDDF" w14:textId="34494F66" w:rsidR="00AA1BD7" w:rsidRPr="00D65973" w:rsidRDefault="00C56371" w:rsidP="00AA1BD7">
      <w:pPr>
        <w:widowControl w:val="0"/>
        <w:rPr>
          <w:bCs/>
          <w:szCs w:val="24"/>
        </w:rPr>
      </w:pPr>
      <w:r>
        <w:rPr>
          <w:bCs/>
          <w:szCs w:val="24"/>
        </w:rPr>
        <w:t xml:space="preserve">Протокол актуализации рассмотрен </w:t>
      </w:r>
      <w:r w:rsidRPr="00E06144">
        <w:rPr>
          <w:bCs/>
          <w:szCs w:val="24"/>
        </w:rPr>
        <w:t xml:space="preserve">на заседании </w:t>
      </w:r>
      <w:r w:rsidRPr="00E06144">
        <w:rPr>
          <w:bCs/>
        </w:rPr>
        <w:t>Ученого совета</w:t>
      </w:r>
      <w:r w:rsidR="00AA1BD7" w:rsidRPr="00C16870">
        <w:rPr>
          <w:bCs/>
        </w:rPr>
        <w:t xml:space="preserve"> </w:t>
      </w:r>
      <w:r w:rsidR="00504FE5" w:rsidRPr="00D65973">
        <w:rPr>
          <w:bCs/>
        </w:rPr>
        <w:t>Нефтегазового института</w:t>
      </w:r>
    </w:p>
    <w:p w14:paraId="0E3B19EC" w14:textId="223AA033" w:rsidR="00AA1BD7" w:rsidRPr="00E06144" w:rsidRDefault="00AA1BD7" w:rsidP="00AA1BD7">
      <w:pPr>
        <w:widowControl w:val="0"/>
        <w:rPr>
          <w:bCs/>
        </w:rPr>
      </w:pPr>
      <w:r w:rsidRPr="00D65973">
        <w:rPr>
          <w:bCs/>
        </w:rPr>
        <w:t xml:space="preserve">Протокол № </w:t>
      </w:r>
      <w:r w:rsidR="00504FE5" w:rsidRPr="00D65973">
        <w:rPr>
          <w:bCs/>
        </w:rPr>
        <w:t>10</w:t>
      </w:r>
      <w:r w:rsidRPr="00D65973">
        <w:rPr>
          <w:bCs/>
        </w:rPr>
        <w:t xml:space="preserve"> от </w:t>
      </w:r>
      <w:r w:rsidR="00504FE5" w:rsidRPr="00D65973">
        <w:rPr>
          <w:bCs/>
        </w:rPr>
        <w:t>24.03.2026</w:t>
      </w:r>
      <w:r w:rsidRPr="00D65973">
        <w:rPr>
          <w:bCs/>
        </w:rPr>
        <w:t xml:space="preserve"> г.</w:t>
      </w:r>
    </w:p>
    <w:sectPr w:rsidR="00AA1BD7" w:rsidRPr="00E06144" w:rsidSect="000A27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EA27D8"/>
    <w:multiLevelType w:val="hybridMultilevel"/>
    <w:tmpl w:val="8AD0E47E"/>
    <w:lvl w:ilvl="0" w:tplc="8548A4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511C70"/>
    <w:multiLevelType w:val="hybridMultilevel"/>
    <w:tmpl w:val="B97C455A"/>
    <w:lvl w:ilvl="0" w:tplc="F0B27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FE0731"/>
    <w:multiLevelType w:val="hybridMultilevel"/>
    <w:tmpl w:val="B97C455A"/>
    <w:lvl w:ilvl="0" w:tplc="F0B27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5567D"/>
    <w:multiLevelType w:val="hybridMultilevel"/>
    <w:tmpl w:val="09D0DED8"/>
    <w:lvl w:ilvl="0" w:tplc="612EA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824ADB"/>
    <w:multiLevelType w:val="hybridMultilevel"/>
    <w:tmpl w:val="9C563BC2"/>
    <w:lvl w:ilvl="0" w:tplc="CF0A55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768E4"/>
    <w:multiLevelType w:val="hybridMultilevel"/>
    <w:tmpl w:val="F3D0FA04"/>
    <w:lvl w:ilvl="0" w:tplc="612EA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98"/>
    <w:rsid w:val="00013D5E"/>
    <w:rsid w:val="000234BC"/>
    <w:rsid w:val="00024A35"/>
    <w:rsid w:val="000356BA"/>
    <w:rsid w:val="00042775"/>
    <w:rsid w:val="00086DE8"/>
    <w:rsid w:val="00097977"/>
    <w:rsid w:val="000A27C5"/>
    <w:rsid w:val="000A2C69"/>
    <w:rsid w:val="000A3131"/>
    <w:rsid w:val="000C4846"/>
    <w:rsid w:val="000E53D2"/>
    <w:rsid w:val="001049F1"/>
    <w:rsid w:val="00120F59"/>
    <w:rsid w:val="00135FB5"/>
    <w:rsid w:val="00136291"/>
    <w:rsid w:val="00142B0B"/>
    <w:rsid w:val="00150669"/>
    <w:rsid w:val="00162FD7"/>
    <w:rsid w:val="00190D16"/>
    <w:rsid w:val="001C5AA1"/>
    <w:rsid w:val="001C6644"/>
    <w:rsid w:val="001C6695"/>
    <w:rsid w:val="001F34A4"/>
    <w:rsid w:val="00203AC4"/>
    <w:rsid w:val="0024185E"/>
    <w:rsid w:val="00247785"/>
    <w:rsid w:val="0027144A"/>
    <w:rsid w:val="0029124B"/>
    <w:rsid w:val="0029207D"/>
    <w:rsid w:val="00296B14"/>
    <w:rsid w:val="002D04CA"/>
    <w:rsid w:val="002D0F45"/>
    <w:rsid w:val="002F5595"/>
    <w:rsid w:val="002F60A7"/>
    <w:rsid w:val="00306198"/>
    <w:rsid w:val="00310B74"/>
    <w:rsid w:val="00315DC1"/>
    <w:rsid w:val="003218A6"/>
    <w:rsid w:val="003310B8"/>
    <w:rsid w:val="00341AE0"/>
    <w:rsid w:val="0035314D"/>
    <w:rsid w:val="0037051D"/>
    <w:rsid w:val="003807A6"/>
    <w:rsid w:val="003A4941"/>
    <w:rsid w:val="003B57C6"/>
    <w:rsid w:val="003E74AE"/>
    <w:rsid w:val="003F6BD9"/>
    <w:rsid w:val="0040293C"/>
    <w:rsid w:val="00406F3A"/>
    <w:rsid w:val="004121D5"/>
    <w:rsid w:val="00437111"/>
    <w:rsid w:val="004670CC"/>
    <w:rsid w:val="00474782"/>
    <w:rsid w:val="00476453"/>
    <w:rsid w:val="00496B28"/>
    <w:rsid w:val="004A3707"/>
    <w:rsid w:val="004A7AAD"/>
    <w:rsid w:val="004B0D88"/>
    <w:rsid w:val="004E3367"/>
    <w:rsid w:val="00504FE5"/>
    <w:rsid w:val="00512E9A"/>
    <w:rsid w:val="005408A0"/>
    <w:rsid w:val="0056240D"/>
    <w:rsid w:val="00592BA3"/>
    <w:rsid w:val="005A39FC"/>
    <w:rsid w:val="005A75A6"/>
    <w:rsid w:val="005C75FC"/>
    <w:rsid w:val="005E63DC"/>
    <w:rsid w:val="00614B37"/>
    <w:rsid w:val="00620716"/>
    <w:rsid w:val="0068481D"/>
    <w:rsid w:val="006A320E"/>
    <w:rsid w:val="006A5B0A"/>
    <w:rsid w:val="006A7B9F"/>
    <w:rsid w:val="007212E6"/>
    <w:rsid w:val="007379AE"/>
    <w:rsid w:val="007462A2"/>
    <w:rsid w:val="007476CE"/>
    <w:rsid w:val="0075231E"/>
    <w:rsid w:val="007563BA"/>
    <w:rsid w:val="00756934"/>
    <w:rsid w:val="00760E81"/>
    <w:rsid w:val="00762ACF"/>
    <w:rsid w:val="007657CE"/>
    <w:rsid w:val="0079181F"/>
    <w:rsid w:val="007921DC"/>
    <w:rsid w:val="00797A7E"/>
    <w:rsid w:val="007C0116"/>
    <w:rsid w:val="007F0CB7"/>
    <w:rsid w:val="007F21F4"/>
    <w:rsid w:val="00807BF8"/>
    <w:rsid w:val="00807D81"/>
    <w:rsid w:val="0083192E"/>
    <w:rsid w:val="00866ADB"/>
    <w:rsid w:val="008738D0"/>
    <w:rsid w:val="00875AAD"/>
    <w:rsid w:val="0088128A"/>
    <w:rsid w:val="008A3559"/>
    <w:rsid w:val="008C7B08"/>
    <w:rsid w:val="008C7DCC"/>
    <w:rsid w:val="008D0B56"/>
    <w:rsid w:val="00927762"/>
    <w:rsid w:val="00927BD9"/>
    <w:rsid w:val="009566A1"/>
    <w:rsid w:val="009A3D80"/>
    <w:rsid w:val="009C2D60"/>
    <w:rsid w:val="009C3C13"/>
    <w:rsid w:val="00A162EC"/>
    <w:rsid w:val="00A235BA"/>
    <w:rsid w:val="00A324CA"/>
    <w:rsid w:val="00A96414"/>
    <w:rsid w:val="00AA1BD7"/>
    <w:rsid w:val="00AA228E"/>
    <w:rsid w:val="00AF64A3"/>
    <w:rsid w:val="00B02784"/>
    <w:rsid w:val="00B0736E"/>
    <w:rsid w:val="00B10A9A"/>
    <w:rsid w:val="00B47112"/>
    <w:rsid w:val="00B47F39"/>
    <w:rsid w:val="00B567AE"/>
    <w:rsid w:val="00B60405"/>
    <w:rsid w:val="00B717B2"/>
    <w:rsid w:val="00B901DF"/>
    <w:rsid w:val="00BC1463"/>
    <w:rsid w:val="00BD76ED"/>
    <w:rsid w:val="00BE0920"/>
    <w:rsid w:val="00C1406B"/>
    <w:rsid w:val="00C16870"/>
    <w:rsid w:val="00C535DE"/>
    <w:rsid w:val="00C56371"/>
    <w:rsid w:val="00C659F2"/>
    <w:rsid w:val="00C667EF"/>
    <w:rsid w:val="00C911A3"/>
    <w:rsid w:val="00CA7327"/>
    <w:rsid w:val="00CD2D3B"/>
    <w:rsid w:val="00CE75AE"/>
    <w:rsid w:val="00D24B34"/>
    <w:rsid w:val="00D24F06"/>
    <w:rsid w:val="00D3203D"/>
    <w:rsid w:val="00D65973"/>
    <w:rsid w:val="00D77447"/>
    <w:rsid w:val="00D914F2"/>
    <w:rsid w:val="00DA222D"/>
    <w:rsid w:val="00DA60E2"/>
    <w:rsid w:val="00DA7CAB"/>
    <w:rsid w:val="00E077EA"/>
    <w:rsid w:val="00E140A1"/>
    <w:rsid w:val="00E1535D"/>
    <w:rsid w:val="00E15FCE"/>
    <w:rsid w:val="00E17FBA"/>
    <w:rsid w:val="00E5227B"/>
    <w:rsid w:val="00E564D9"/>
    <w:rsid w:val="00E64C36"/>
    <w:rsid w:val="00E67479"/>
    <w:rsid w:val="00E81B10"/>
    <w:rsid w:val="00E944EE"/>
    <w:rsid w:val="00EC5AA0"/>
    <w:rsid w:val="00ED64FC"/>
    <w:rsid w:val="00EF241E"/>
    <w:rsid w:val="00EF3CAF"/>
    <w:rsid w:val="00F4288A"/>
    <w:rsid w:val="00F45476"/>
    <w:rsid w:val="00F5109A"/>
    <w:rsid w:val="00FC5CEB"/>
    <w:rsid w:val="00FD1CAD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0DB0"/>
  <w15:docId w15:val="{3A718AB7-EB69-4045-BB0E-28636341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D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06198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24"/>
      <w:sz w:val="28"/>
      <w:szCs w:val="32"/>
    </w:rPr>
  </w:style>
  <w:style w:type="paragraph" w:styleId="2">
    <w:name w:val="heading 2"/>
    <w:basedOn w:val="a"/>
    <w:next w:val="a0"/>
    <w:link w:val="20"/>
    <w:qFormat/>
    <w:rsid w:val="00306198"/>
    <w:pPr>
      <w:numPr>
        <w:ilvl w:val="1"/>
        <w:numId w:val="1"/>
      </w:numPr>
      <w:tabs>
        <w:tab w:val="left" w:pos="1200"/>
        <w:tab w:val="left" w:pos="1300"/>
        <w:tab w:val="left" w:pos="1400"/>
      </w:tabs>
      <w:ind w:left="1176"/>
      <w:outlineLvl w:val="1"/>
    </w:pPr>
    <w:rPr>
      <w:rFonts w:cs="Arial"/>
      <w:bCs/>
      <w:i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06198"/>
    <w:rPr>
      <w:rFonts w:ascii="Times New Roman" w:eastAsia="Times New Roman" w:hAnsi="Times New Roman" w:cs="Arial"/>
      <w:b/>
      <w:bCs/>
      <w:kern w:val="24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306198"/>
    <w:rPr>
      <w:rFonts w:ascii="Times New Roman" w:eastAsia="Times New Roman" w:hAnsi="Times New Roman" w:cs="Arial"/>
      <w:bCs/>
      <w:iCs/>
      <w:sz w:val="24"/>
      <w:szCs w:val="24"/>
      <w:lang w:eastAsia="ar-SA"/>
    </w:rPr>
  </w:style>
  <w:style w:type="character" w:styleId="a4">
    <w:name w:val="Strong"/>
    <w:qFormat/>
    <w:rsid w:val="00306198"/>
    <w:rPr>
      <w:b/>
      <w:bCs/>
    </w:rPr>
  </w:style>
  <w:style w:type="paragraph" w:customStyle="1" w:styleId="Iauiue">
    <w:name w:val="Iau?iue"/>
    <w:rsid w:val="0030619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table" w:styleId="a5">
    <w:name w:val="Table Grid"/>
    <w:basedOn w:val="a2"/>
    <w:uiPriority w:val="39"/>
    <w:rsid w:val="0030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6"/>
    <w:uiPriority w:val="99"/>
    <w:semiHidden/>
    <w:unhideWhenUsed/>
    <w:rsid w:val="00306198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061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162FD7"/>
    <w:pPr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162FD7"/>
  </w:style>
  <w:style w:type="paragraph" w:styleId="a9">
    <w:name w:val="Balloon Text"/>
    <w:basedOn w:val="a"/>
    <w:link w:val="aa"/>
    <w:uiPriority w:val="99"/>
    <w:semiHidden/>
    <w:unhideWhenUsed/>
    <w:rsid w:val="00875A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75AA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annotation reference"/>
    <w:basedOn w:val="a1"/>
    <w:uiPriority w:val="99"/>
    <w:semiHidden/>
    <w:unhideWhenUsed/>
    <w:rsid w:val="00875A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5AAD"/>
    <w:rPr>
      <w:sz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875A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5A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75AA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0">
    <w:name w:val="Body Text Indent"/>
    <w:aliases w:val="текст,Основной текст 1,Нумерованный список !!,Надин стиль"/>
    <w:basedOn w:val="a"/>
    <w:link w:val="af1"/>
    <w:uiPriority w:val="99"/>
    <w:rsid w:val="00866ADB"/>
    <w:pPr>
      <w:spacing w:after="120"/>
      <w:ind w:left="283"/>
    </w:pPr>
    <w:rPr>
      <w:lang w:val="en-US"/>
    </w:rPr>
  </w:style>
  <w:style w:type="character" w:customStyle="1" w:styleId="af1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0"/>
    <w:uiPriority w:val="99"/>
    <w:rsid w:val="00866AD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f2">
    <w:name w:val="Title"/>
    <w:basedOn w:val="a"/>
    <w:next w:val="af3"/>
    <w:link w:val="af4"/>
    <w:qFormat/>
    <w:rsid w:val="00EC5AA0"/>
    <w:pPr>
      <w:suppressAutoHyphens w:val="0"/>
      <w:jc w:val="center"/>
    </w:pPr>
    <w:rPr>
      <w:sz w:val="28"/>
      <w:szCs w:val="24"/>
      <w:lang w:val="x-none"/>
    </w:rPr>
  </w:style>
  <w:style w:type="character" w:customStyle="1" w:styleId="af4">
    <w:name w:val="Название Знак"/>
    <w:basedOn w:val="a1"/>
    <w:link w:val="af2"/>
    <w:rsid w:val="00EC5AA0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a00">
    <w:name w:val="a0"/>
    <w:basedOn w:val="a"/>
    <w:rsid w:val="00EC5AA0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styleId="af3">
    <w:name w:val="Subtitle"/>
    <w:basedOn w:val="a"/>
    <w:next w:val="a"/>
    <w:link w:val="af5"/>
    <w:uiPriority w:val="11"/>
    <w:qFormat/>
    <w:rsid w:val="00EC5AA0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1"/>
    <w:link w:val="af3"/>
    <w:uiPriority w:val="11"/>
    <w:rsid w:val="00EC5AA0"/>
    <w:rPr>
      <w:rFonts w:eastAsiaTheme="minorEastAsia"/>
      <w:color w:val="5A5A5A" w:themeColor="text1" w:themeTint="A5"/>
      <w:spacing w:val="15"/>
      <w:lang w:eastAsia="ar-SA"/>
    </w:rPr>
  </w:style>
  <w:style w:type="paragraph" w:styleId="af6">
    <w:name w:val="header"/>
    <w:basedOn w:val="a"/>
    <w:link w:val="af7"/>
    <w:uiPriority w:val="99"/>
    <w:unhideWhenUsed/>
    <w:rsid w:val="007379A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7379A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footer"/>
    <w:basedOn w:val="a"/>
    <w:link w:val="af9"/>
    <w:uiPriority w:val="99"/>
    <w:unhideWhenUsed/>
    <w:rsid w:val="007379A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7379A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Глумов Иван Сергеевич</dc:creator>
  <cp:lastModifiedBy>Радичко Диана Викторовна</cp:lastModifiedBy>
  <cp:revision>45</cp:revision>
  <dcterms:created xsi:type="dcterms:W3CDTF">2025-02-03T05:50:00Z</dcterms:created>
  <dcterms:modified xsi:type="dcterms:W3CDTF">2026-05-04T07:26:00Z</dcterms:modified>
</cp:coreProperties>
</file>